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4582" w14:textId="77777777" w:rsidR="00904334" w:rsidRDefault="00904334">
      <w:pPr>
        <w:pStyle w:val="BodyText"/>
        <w:spacing w:before="37"/>
        <w:rPr>
          <w:rFonts w:ascii="Times New Roman"/>
          <w:sz w:val="32"/>
        </w:rPr>
      </w:pPr>
    </w:p>
    <w:p w14:paraId="75F09378" w14:textId="77777777" w:rsidR="00904334" w:rsidRDefault="00385012">
      <w:pPr>
        <w:pStyle w:val="Title"/>
      </w:pPr>
      <w:bookmarkStart w:id="0" w:name="Formulary_–_Non-Discrimination_Clinical_"/>
      <w:bookmarkEnd w:id="0"/>
      <w:r>
        <w:rPr>
          <w:color w:val="2D74B5"/>
        </w:rPr>
        <w:t>Formulary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Non-Discrimination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Clinical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Appropriateness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4"/>
        </w:rPr>
        <w:t>Tool</w:t>
      </w:r>
    </w:p>
    <w:p w14:paraId="29565D8E" w14:textId="77777777" w:rsidR="00904334" w:rsidRDefault="00385012">
      <w:pPr>
        <w:spacing w:before="41"/>
        <w:jc w:val="center"/>
        <w:rPr>
          <w:rFonts w:ascii="Calibri Light"/>
          <w:sz w:val="26"/>
        </w:rPr>
      </w:pPr>
      <w:bookmarkStart w:id="1" w:name="Supporting_Documentation_and_Justificati"/>
      <w:bookmarkEnd w:id="1"/>
      <w:r>
        <w:rPr>
          <w:rFonts w:ascii="Calibri Light"/>
          <w:color w:val="2D74B5"/>
          <w:sz w:val="26"/>
        </w:rPr>
        <w:t>Supporting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z w:val="26"/>
        </w:rPr>
        <w:t>Documentation</w:t>
      </w:r>
      <w:r>
        <w:rPr>
          <w:rFonts w:ascii="Calibri Light"/>
          <w:color w:val="2D74B5"/>
          <w:spacing w:val="-10"/>
          <w:sz w:val="26"/>
        </w:rPr>
        <w:t xml:space="preserve"> </w:t>
      </w:r>
      <w:r>
        <w:rPr>
          <w:rFonts w:ascii="Calibri Light"/>
          <w:color w:val="2D74B5"/>
          <w:sz w:val="26"/>
        </w:rPr>
        <w:t>and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pacing w:val="-2"/>
          <w:sz w:val="26"/>
        </w:rPr>
        <w:t>Justification</w:t>
      </w:r>
    </w:p>
    <w:p w14:paraId="714FC6E8" w14:textId="77777777" w:rsidR="00904334" w:rsidRDefault="00904334">
      <w:pPr>
        <w:pStyle w:val="BodyText"/>
        <w:spacing w:before="187"/>
        <w:rPr>
          <w:rFonts w:ascii="Calibri Light"/>
          <w:sz w:val="26"/>
        </w:rPr>
      </w:pPr>
    </w:p>
    <w:p w14:paraId="1C8EA693" w14:textId="1A6C87C9" w:rsidR="00904334" w:rsidRDefault="00385012">
      <w:pPr>
        <w:tabs>
          <w:tab w:val="left" w:pos="5071"/>
        </w:tabs>
        <w:ind w:left="560"/>
        <w:rPr>
          <w:b/>
          <w:sz w:val="24"/>
        </w:rPr>
      </w:pPr>
      <w:r>
        <w:rPr>
          <w:b/>
          <w:sz w:val="24"/>
        </w:rPr>
        <w:t>Formulary</w:t>
      </w:r>
      <w:r>
        <w:rPr>
          <w:b/>
          <w:spacing w:val="-2"/>
          <w:sz w:val="24"/>
        </w:rPr>
        <w:t xml:space="preserve"> </w:t>
      </w:r>
      <w:r w:rsidR="00D62635">
        <w:rPr>
          <w:b/>
          <w:spacing w:val="-5"/>
          <w:sz w:val="24"/>
        </w:rPr>
        <w:t>for: _____________</w:t>
      </w:r>
      <w:r w:rsidR="002F2045">
        <w:rPr>
          <w:b/>
          <w:spacing w:val="-5"/>
          <w:sz w:val="24"/>
        </w:rPr>
        <w:t>_ quarter</w:t>
      </w:r>
      <w:r>
        <w:rPr>
          <w:b/>
          <w:sz w:val="24"/>
        </w:rPr>
        <w:t xml:space="preserve">, </w:t>
      </w:r>
      <w:r>
        <w:rPr>
          <w:b/>
          <w:spacing w:val="-5"/>
          <w:sz w:val="24"/>
        </w:rPr>
        <w:t>20</w:t>
      </w:r>
      <w:r w:rsidR="00D62635">
        <w:rPr>
          <w:b/>
          <w:spacing w:val="-5"/>
          <w:sz w:val="24"/>
        </w:rPr>
        <w:t>__</w:t>
      </w:r>
    </w:p>
    <w:p w14:paraId="27990549" w14:textId="15E28235" w:rsidR="00904334" w:rsidRDefault="00385012">
      <w:pPr>
        <w:spacing w:before="26"/>
        <w:ind w:left="560"/>
        <w:rPr>
          <w:b/>
          <w:sz w:val="24"/>
        </w:rPr>
      </w:pPr>
      <w:r>
        <w:rPr>
          <w:b/>
          <w:spacing w:val="-2"/>
          <w:sz w:val="24"/>
        </w:rPr>
        <w:t>Issuer:</w:t>
      </w:r>
      <w:r w:rsidR="00D62635">
        <w:rPr>
          <w:b/>
          <w:spacing w:val="-2"/>
          <w:sz w:val="24"/>
        </w:rPr>
        <w:t xml:space="preserve"> _________________</w:t>
      </w:r>
    </w:p>
    <w:p w14:paraId="346C779E" w14:textId="77777777" w:rsidR="00904334" w:rsidRDefault="00385012">
      <w:pPr>
        <w:spacing w:before="185"/>
        <w:ind w:left="560"/>
        <w:rPr>
          <w:i/>
        </w:rPr>
      </w:pPr>
      <w:r>
        <w:rPr>
          <w:b/>
          <w:i/>
          <w:u w:val="single"/>
        </w:rPr>
        <w:t>Instructions</w:t>
      </w:r>
      <w:r>
        <w:rPr>
          <w:i/>
        </w:rPr>
        <w:t>:</w:t>
      </w:r>
      <w:r>
        <w:rPr>
          <w:i/>
          <w:spacing w:val="52"/>
        </w:rPr>
        <w:t xml:space="preserve"> </w:t>
      </w:r>
      <w:r>
        <w:rPr>
          <w:i/>
        </w:rPr>
        <w:t>Each</w:t>
      </w:r>
      <w:r>
        <w:rPr>
          <w:i/>
          <w:spacing w:val="-4"/>
        </w:rPr>
        <w:t xml:space="preserve"> </w:t>
      </w:r>
      <w:r>
        <w:rPr>
          <w:i/>
        </w:rPr>
        <w:t>Formulary</w:t>
      </w:r>
      <w:r>
        <w:rPr>
          <w:i/>
          <w:spacing w:val="-3"/>
        </w:rPr>
        <w:t xml:space="preserve"> </w:t>
      </w:r>
      <w:r>
        <w:rPr>
          <w:i/>
        </w:rPr>
        <w:t>ID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listed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separate</w:t>
      </w:r>
      <w:r>
        <w:rPr>
          <w:i/>
          <w:spacing w:val="-2"/>
        </w:rPr>
        <w:t xml:space="preserve"> </w:t>
      </w:r>
      <w:r>
        <w:rPr>
          <w:i/>
        </w:rPr>
        <w:t>row.</w:t>
      </w:r>
      <w:r>
        <w:rPr>
          <w:i/>
          <w:spacing w:val="5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add</w:t>
      </w:r>
      <w:r>
        <w:rPr>
          <w:i/>
          <w:spacing w:val="-3"/>
        </w:rPr>
        <w:t xml:space="preserve"> </w:t>
      </w:r>
      <w:r>
        <w:rPr>
          <w:i/>
        </w:rPr>
        <w:t>additional</w:t>
      </w:r>
      <w:r>
        <w:rPr>
          <w:i/>
          <w:spacing w:val="-3"/>
        </w:rPr>
        <w:t xml:space="preserve"> </w:t>
      </w:r>
      <w:r>
        <w:rPr>
          <w:i/>
        </w:rPr>
        <w:t>rows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table</w:t>
      </w:r>
      <w:r>
        <w:rPr>
          <w:i/>
          <w:spacing w:val="-2"/>
        </w:rPr>
        <w:t xml:space="preserve"> </w:t>
      </w:r>
      <w:r>
        <w:rPr>
          <w:i/>
        </w:rPr>
        <w:t>below</w:t>
      </w:r>
      <w:r>
        <w:rPr>
          <w:i/>
          <w:spacing w:val="-6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needed.</w:t>
      </w:r>
    </w:p>
    <w:p w14:paraId="4035C7C8" w14:textId="77777777" w:rsidR="00904334" w:rsidRDefault="00385012">
      <w:pPr>
        <w:spacing w:before="22"/>
        <w:ind w:left="560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Justification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converted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PDF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uploading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SERFF.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WORD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version.</w:t>
      </w:r>
    </w:p>
    <w:p w14:paraId="6A3E2642" w14:textId="77777777" w:rsidR="00904334" w:rsidRDefault="00904334">
      <w:pPr>
        <w:pStyle w:val="BodyText"/>
        <w:spacing w:before="72"/>
        <w:rPr>
          <w:b/>
          <w:i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531"/>
        <w:gridCol w:w="2160"/>
        <w:gridCol w:w="1529"/>
        <w:gridCol w:w="1620"/>
        <w:gridCol w:w="5220"/>
      </w:tblGrid>
      <w:tr w:rsidR="00904334" w14:paraId="315AD0C5" w14:textId="77777777">
        <w:trPr>
          <w:trHeight w:val="1862"/>
        </w:trPr>
        <w:tc>
          <w:tcPr>
            <w:tcW w:w="1800" w:type="dxa"/>
            <w:shd w:val="clear" w:color="auto" w:fill="9CC2E4"/>
          </w:tcPr>
          <w:p w14:paraId="6D4EB3AD" w14:textId="77777777" w:rsidR="00904334" w:rsidRDefault="00385012">
            <w:pPr>
              <w:pStyle w:val="TableParagraph"/>
              <w:ind w:left="225" w:right="2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Formulary </w:t>
            </w:r>
            <w:r>
              <w:rPr>
                <w:b/>
                <w:sz w:val="28"/>
              </w:rPr>
              <w:t xml:space="preserve">ID(s) – </w:t>
            </w:r>
            <w:r>
              <w:rPr>
                <w:b/>
                <w:spacing w:val="-2"/>
                <w:sz w:val="28"/>
              </w:rPr>
              <w:t>(WAF00s)</w:t>
            </w:r>
          </w:p>
        </w:tc>
        <w:tc>
          <w:tcPr>
            <w:tcW w:w="1531" w:type="dxa"/>
            <w:shd w:val="clear" w:color="auto" w:fill="9CC2E4"/>
          </w:tcPr>
          <w:p w14:paraId="7F4FDDCB" w14:textId="77777777" w:rsidR="00904334" w:rsidRDefault="00385012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Condition</w:t>
            </w:r>
          </w:p>
        </w:tc>
        <w:tc>
          <w:tcPr>
            <w:tcW w:w="2160" w:type="dxa"/>
            <w:shd w:val="clear" w:color="auto" w:fill="9CC2E4"/>
          </w:tcPr>
          <w:p w14:paraId="35FCAEF5" w14:textId="77777777" w:rsidR="00904334" w:rsidRDefault="00385012">
            <w:pPr>
              <w:pStyle w:val="TableParagraph"/>
              <w:ind w:left="323" w:right="311" w:firstLine="48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Test </w:t>
            </w: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1529" w:type="dxa"/>
            <w:shd w:val="clear" w:color="auto" w:fill="9CC2E4"/>
          </w:tcPr>
          <w:p w14:paraId="39D0AA5F" w14:textId="77777777" w:rsidR="00904334" w:rsidRDefault="003850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Threshold</w:t>
            </w:r>
          </w:p>
        </w:tc>
        <w:tc>
          <w:tcPr>
            <w:tcW w:w="1620" w:type="dxa"/>
            <w:shd w:val="clear" w:color="auto" w:fill="9CC2E4"/>
          </w:tcPr>
          <w:p w14:paraId="1524CF4A" w14:textId="77777777" w:rsidR="00904334" w:rsidRDefault="00385012">
            <w:pPr>
              <w:pStyle w:val="TableParagraph"/>
              <w:spacing w:line="372" w:lineRule="exact"/>
              <w:ind w:left="134" w:right="123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Count of </w:t>
            </w:r>
            <w:r>
              <w:rPr>
                <w:b/>
                <w:spacing w:val="-2"/>
                <w:sz w:val="28"/>
              </w:rPr>
              <w:t>Drugs covered without restriction</w:t>
            </w:r>
          </w:p>
        </w:tc>
        <w:tc>
          <w:tcPr>
            <w:tcW w:w="5220" w:type="dxa"/>
            <w:shd w:val="clear" w:color="auto" w:fill="9CC2E4"/>
          </w:tcPr>
          <w:p w14:paraId="4030F604" w14:textId="77777777" w:rsidR="00904334" w:rsidRDefault="00385012">
            <w:pPr>
              <w:pStyle w:val="TableParagraph"/>
              <w:ind w:left="17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Justification*</w:t>
            </w:r>
          </w:p>
        </w:tc>
      </w:tr>
      <w:tr w:rsidR="00904334" w14:paraId="080BC31A" w14:textId="77777777">
        <w:trPr>
          <w:trHeight w:val="371"/>
        </w:trPr>
        <w:tc>
          <w:tcPr>
            <w:tcW w:w="1800" w:type="dxa"/>
          </w:tcPr>
          <w:p w14:paraId="0407DCD4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3CAF5A87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2E30B8A6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1E287659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150F719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6A24277D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</w:tr>
      <w:tr w:rsidR="00904334" w14:paraId="278E5DBC" w14:textId="77777777">
        <w:trPr>
          <w:trHeight w:val="371"/>
        </w:trPr>
        <w:tc>
          <w:tcPr>
            <w:tcW w:w="1800" w:type="dxa"/>
          </w:tcPr>
          <w:p w14:paraId="46486402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623176F8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EADE48F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1025FAF9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C19DEB4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2781545E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</w:tr>
      <w:tr w:rsidR="00904334" w14:paraId="7CBB25FF" w14:textId="77777777">
        <w:trPr>
          <w:trHeight w:val="373"/>
        </w:trPr>
        <w:tc>
          <w:tcPr>
            <w:tcW w:w="1800" w:type="dxa"/>
          </w:tcPr>
          <w:p w14:paraId="1BAEC8FF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1B618DFE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08911B53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41D1EEA8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DBD8304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5A57FE14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</w:tr>
      <w:tr w:rsidR="00904334" w14:paraId="3ED1BA5C" w14:textId="77777777">
        <w:trPr>
          <w:trHeight w:val="371"/>
        </w:trPr>
        <w:tc>
          <w:tcPr>
            <w:tcW w:w="1800" w:type="dxa"/>
          </w:tcPr>
          <w:p w14:paraId="32AD9495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4829F62A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0CD58187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75D6CA77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C2240CC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591CBED4" w14:textId="77777777" w:rsidR="00904334" w:rsidRDefault="00904334">
            <w:pPr>
              <w:pStyle w:val="TableParagraph"/>
              <w:rPr>
                <w:rFonts w:ascii="Times New Roman"/>
              </w:rPr>
            </w:pPr>
          </w:p>
        </w:tc>
      </w:tr>
    </w:tbl>
    <w:p w14:paraId="0EE7321E" w14:textId="77777777" w:rsidR="00904334" w:rsidRDefault="00904334">
      <w:pPr>
        <w:pStyle w:val="BodyText"/>
        <w:spacing w:before="211"/>
        <w:rPr>
          <w:b/>
          <w:i/>
          <w:sz w:val="20"/>
        </w:rPr>
      </w:pPr>
    </w:p>
    <w:p w14:paraId="567A6271" w14:textId="77777777" w:rsidR="00904334" w:rsidRDefault="00385012">
      <w:pPr>
        <w:pStyle w:val="Heading1"/>
      </w:pPr>
      <w:r>
        <w:rPr>
          <w:spacing w:val="-2"/>
        </w:rPr>
        <w:t>*Justification</w:t>
      </w:r>
    </w:p>
    <w:p w14:paraId="301F7613" w14:textId="77777777" w:rsidR="00904334" w:rsidRDefault="00385012">
      <w:pPr>
        <w:pStyle w:val="BodyText"/>
        <w:spacing w:before="25" w:line="259" w:lineRule="auto"/>
        <w:ind w:left="560" w:right="601"/>
      </w:pPr>
      <w:r>
        <w:t xml:space="preserve">This tool flags formulary designs that are potentially discriminatory </w:t>
      </w:r>
      <w:proofErr w:type="gramStart"/>
      <w:r>
        <w:t>on the basis of</w:t>
      </w:r>
      <w:proofErr w:type="gramEnd"/>
      <w:r>
        <w:t xml:space="preserve"> health status by analyzing a formulary’s coverage of drugs for certain conditions.</w:t>
      </w:r>
      <w:r>
        <w:rPr>
          <w:spacing w:val="73"/>
        </w:rPr>
        <w:t xml:space="preserve"> </w:t>
      </w:r>
      <w:r>
        <w:t>The tool measures the number of unrestricted drugs covered for those conditions against a threshold.</w:t>
      </w:r>
      <w:r>
        <w:rPr>
          <w:spacing w:val="40"/>
        </w:rPr>
        <w:t xml:space="preserve"> </w:t>
      </w:r>
      <w:r>
        <w:t>(Washington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pre-loaded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CCIIO.)</w:t>
      </w:r>
      <w:r>
        <w:rPr>
          <w:spacing w:val="80"/>
        </w:rPr>
        <w:t xml:space="preserve"> </w:t>
      </w:r>
      <w:r>
        <w:t>“Unrestricted”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without prior authorization or step therapy requirements.</w:t>
      </w:r>
      <w:r>
        <w:rPr>
          <w:spacing w:val="80"/>
          <w:w w:val="150"/>
        </w:rPr>
        <w:t xml:space="preserve"> </w:t>
      </w:r>
      <w:r>
        <w:t xml:space="preserve">The tool flags all </w:t>
      </w:r>
      <w:proofErr w:type="gramStart"/>
      <w:r>
        <w:t>plans</w:t>
      </w:r>
      <w:proofErr w:type="gramEnd"/>
      <w:r>
        <w:t xml:space="preserve"> that cover fewer unrestricted drugs for a particular</w:t>
      </w:r>
    </w:p>
    <w:p w14:paraId="42017565" w14:textId="77777777" w:rsidR="00904334" w:rsidRDefault="00904334">
      <w:pPr>
        <w:spacing w:line="259" w:lineRule="auto"/>
        <w:sectPr w:rsidR="00904334">
          <w:headerReference w:type="default" r:id="rId9"/>
          <w:footerReference w:type="default" r:id="rId10"/>
          <w:type w:val="continuous"/>
          <w:pgSz w:w="15840" w:h="12240" w:orient="landscape"/>
          <w:pgMar w:top="1620" w:right="880" w:bottom="920" w:left="880" w:header="720" w:footer="726" w:gutter="0"/>
          <w:pgNumType w:start="1"/>
          <w:cols w:space="720"/>
        </w:sectPr>
      </w:pPr>
    </w:p>
    <w:p w14:paraId="4D0169E6" w14:textId="77777777" w:rsidR="00904334" w:rsidRDefault="00385012">
      <w:pPr>
        <w:pStyle w:val="Heading1"/>
        <w:spacing w:before="165" w:line="259" w:lineRule="auto"/>
        <w:ind w:right="601"/>
      </w:pPr>
      <w:r>
        <w:rPr>
          <w:b w:val="0"/>
        </w:rPr>
        <w:lastRenderedPageBreak/>
        <w:t>condition</w:t>
      </w:r>
      <w:r>
        <w:rPr>
          <w:b w:val="0"/>
          <w:spacing w:val="-3"/>
        </w:rPr>
        <w:t xml:space="preserve"> </w:t>
      </w:r>
      <w:r>
        <w:rPr>
          <w:b w:val="0"/>
        </w:rPr>
        <w:t>than</w:t>
      </w:r>
      <w:r>
        <w:rPr>
          <w:b w:val="0"/>
          <w:spacing w:val="-3"/>
        </w:rPr>
        <w:t xml:space="preserve"> </w:t>
      </w:r>
      <w:r>
        <w:rPr>
          <w:b w:val="0"/>
        </w:rPr>
        <w:t>the</w:t>
      </w:r>
      <w:r>
        <w:rPr>
          <w:b w:val="0"/>
          <w:spacing w:val="-3"/>
        </w:rPr>
        <w:t xml:space="preserve"> </w:t>
      </w:r>
      <w:r>
        <w:rPr>
          <w:b w:val="0"/>
        </w:rPr>
        <w:t>threshold.</w:t>
      </w:r>
      <w:r>
        <w:rPr>
          <w:b w:val="0"/>
          <w:spacing w:val="4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formulary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discriminatory</w:t>
      </w:r>
      <w:r>
        <w:rPr>
          <w:spacing w:val="-2"/>
        </w:rPr>
        <w:t xml:space="preserve"> </w:t>
      </w:r>
      <w:r>
        <w:t>despite covering fewer unrestricted drugs for the condition than the threshold.</w:t>
      </w:r>
    </w:p>
    <w:p w14:paraId="4A487DF6" w14:textId="77777777" w:rsidR="00904334" w:rsidRDefault="00385012">
      <w:pPr>
        <w:pStyle w:val="BodyText"/>
        <w:spacing w:before="160" w:line="259" w:lineRule="auto"/>
        <w:ind w:left="560" w:right="601"/>
      </w:pPr>
      <w:r>
        <w:rPr>
          <w:b/>
          <w:u w:val="single"/>
        </w:rPr>
        <w:t>Please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Note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OIC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proofErr w:type="gramStart"/>
      <w:r>
        <w:t>clinically-based</w:t>
      </w:r>
      <w:proofErr w:type="gramEnd"/>
      <w:r>
        <w:rPr>
          <w:spacing w:val="-2"/>
        </w:rPr>
        <w:t xml:space="preserve"> </w:t>
      </w:r>
      <w:r>
        <w:t>justifications,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opinions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drugs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EHB Rx Crosswalk, or whether a particular drug should or should not be used as a first-line treatment for a particular condition.</w:t>
      </w:r>
    </w:p>
    <w:sectPr w:rsidR="00904334">
      <w:pgSz w:w="15840" w:h="12240" w:orient="landscape"/>
      <w:pgMar w:top="1620" w:right="880" w:bottom="920" w:left="8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F05C" w14:textId="77777777" w:rsidR="00F92A74" w:rsidRDefault="00F92A74">
      <w:r>
        <w:separator/>
      </w:r>
    </w:p>
  </w:endnote>
  <w:endnote w:type="continuationSeparator" w:id="0">
    <w:p w14:paraId="3108334B" w14:textId="77777777" w:rsidR="00F92A74" w:rsidRDefault="00F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7C47" w14:textId="77777777" w:rsidR="00904334" w:rsidRDefault="00385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4A6F523" wp14:editId="7417302E">
              <wp:simplePos x="0" y="0"/>
              <wp:positionH relativeFrom="page">
                <wp:posOffset>4451089</wp:posOffset>
              </wp:positionH>
              <wp:positionV relativeFrom="page">
                <wp:posOffset>7171411</wp:posOffset>
              </wp:positionV>
              <wp:extent cx="115633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633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04734" w14:textId="77777777" w:rsidR="00904334" w:rsidRDefault="00385012">
                          <w:pPr>
                            <w:spacing w:line="245" w:lineRule="exact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  <w:p w14:paraId="77D85E58" w14:textId="77777777" w:rsidR="00904334" w:rsidRDefault="00385012">
                          <w:pPr>
                            <w:pStyle w:val="BodyText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2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(04/2019)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6F5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5pt;margin-top:564.7pt;width:91.05pt;height:26.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eclAEAABsDAAAOAAAAZHJzL2Uyb0RvYy54bWysUsFu2zAMvQ/YPwi6L0oaJBiMOMW2osOA&#10;YhvQ9gMUWYqNWaJKKrHz96NUJym227ALTZnU43uP2tyOvhdHi9RBqOViNpfCBgNNF/a1fH66//BR&#10;Cko6NLqHYGt5siRvt+/fbYZY2RtooW8sCgYJVA2xlm1KsVKKTGu9phlEG7joAL1OfMS9alAPjO57&#10;dTOfr9UA2EQEY4n4791rUW4LvnPWpB/OkU2iryVzSyViibsc1Xajqz3q2HZmoqH/gYXXXeChF6g7&#10;nbQ4YPcXlO8MAoFLMwNegXOdsUUDq1nM/1Dz2OpoixY2h+LFJvp/sOb78TH+RJHGzzDyAosIig9g&#10;fhF7o4ZI1dSTPaWKuDsLHR36/GUJgi+yt6eLn3ZMwmS0xWq9XK6kMFxbLterVTFcXW9HpPTVghc5&#10;qSXyvgoDfXyglOfr6twykXmdn5mkcTdyS0530JxYxMB7rCW9HDRaKfpvgY3KSz8neE525wRT/wXK&#10;08haAnw6JHBdmXzFnSbzBgqh6bXkFb89l67rm97+BgAA//8DAFBLAwQUAAYACAAAACEAQCM98eEA&#10;AAANAQAADwAAAGRycy9kb3ducmV2LnhtbEyPwU7DMBBE70j8g7VI3KidUJU0xKkqBCckRBoOHJ3Y&#10;TazG6xC7bfh7tid63JnR7JtiM7uBncwUrEcJyUIAM9h6bbGT8FW/PWTAQlSo1eDRSPg1ATbl7U2h&#10;cu3PWJnTLnaMSjDkSkIf45hzHtreOBUWfjRI3t5PTkU6p47rSZ2p3A08FWLFnbJIH3o1mpfetIfd&#10;0UnYfmP1an8+ms9qX9m6Xgt8Xx2kvL+bt8/Aopnjfxgu+IQOJTE1/og6sEHCk0hoSyQjSddLYBTJ&#10;sscEWHORsnQJvCz49YryDwAA//8DAFBLAQItABQABgAIAAAAIQC2gziS/gAAAOEBAAATAAAAAAAA&#10;AAAAAAAAAAAAAABbQ29udGVudF9UeXBlc10ueG1sUEsBAi0AFAAGAAgAAAAhADj9If/WAAAAlAEA&#10;AAsAAAAAAAAAAAAAAAAALwEAAF9yZWxzLy5yZWxzUEsBAi0AFAAGAAgAAAAhAOLUZ5yUAQAAGwMA&#10;AA4AAAAAAAAAAAAAAAAALgIAAGRycy9lMm9Eb2MueG1sUEsBAi0AFAAGAAgAAAAhAEAjPfHhAAAA&#10;DQEAAA8AAAAAAAAAAAAAAAAA7gMAAGRycy9kb3ducmV2LnhtbFBLBQYAAAAABAAEAPMAAAD8BAAA&#10;AAA=&#10;" filled="f" stroked="f">
              <v:textbox inset="0,0,0,0">
                <w:txbxContent>
                  <w:p w14:paraId="38A04734" w14:textId="77777777" w:rsidR="00904334" w:rsidRDefault="00385012">
                    <w:pPr>
                      <w:spacing w:line="245" w:lineRule="exact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  <w:p w14:paraId="77D85E58" w14:textId="77777777" w:rsidR="00904334" w:rsidRDefault="00385012">
                    <w:pPr>
                      <w:pStyle w:val="BodyTex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Version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2 </w:t>
                    </w:r>
                    <w:r>
                      <w:rPr>
                        <w:rFonts w:ascii="Calibri"/>
                        <w:spacing w:val="-2"/>
                      </w:rPr>
                      <w:t>(04/2019)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0133" w14:textId="77777777" w:rsidR="00F92A74" w:rsidRDefault="00F92A74">
      <w:r>
        <w:separator/>
      </w:r>
    </w:p>
  </w:footnote>
  <w:footnote w:type="continuationSeparator" w:id="0">
    <w:p w14:paraId="293FE3A0" w14:textId="77777777" w:rsidR="00F92A74" w:rsidRDefault="00F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D38E" w14:textId="77777777" w:rsidR="00904334" w:rsidRDefault="0038501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16B30647" wp14:editId="6D049A7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400799" cy="571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34"/>
    <w:rsid w:val="00103F41"/>
    <w:rsid w:val="002F2045"/>
    <w:rsid w:val="00385012"/>
    <w:rsid w:val="004D37F0"/>
    <w:rsid w:val="008650BF"/>
    <w:rsid w:val="00904334"/>
    <w:rsid w:val="009313BB"/>
    <w:rsid w:val="009D4311"/>
    <w:rsid w:val="00D62635"/>
    <w:rsid w:val="00E52D71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698A"/>
  <w15:docId w15:val="{34EC40E4-9281-4387-93CE-B4AB53E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024A3-6D47-41E6-83B2-4CB637DBA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EA221-F489-4454-9E44-B91ADEA3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b2f69-de0f-4076-9bbb-633f62b9e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F54EC-427A-4E1A-B000-12D7C5D576D1}">
  <ds:schemaRefs>
    <ds:schemaRef ds:uri="d29b2f69-de0f-4076-9bbb-633f62b9ee5f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>State of Washington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- Formulary Non Discrimination Clinical Appropriateness Tool</dc:title>
  <dc:subject>Justification form for the Non Discrimination Clinical Appropriateness Tool Results for Washington State.</dc:subject>
  <dc:creator>Philhower, Andrea (OIC)</dc:creator>
  <dc:description/>
  <cp:lastModifiedBy>Hinrichs, Julia (OIC)</cp:lastModifiedBy>
  <cp:revision>3</cp:revision>
  <dcterms:created xsi:type="dcterms:W3CDTF">2025-05-15T16:44:00Z</dcterms:created>
  <dcterms:modified xsi:type="dcterms:W3CDTF">2025-05-15T16:52:00Z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/>
  </property>
  <property fmtid="{D5CDD505-2E9C-101B-9397-08002B2CF9AE}" pid="7" name="ContentTypeId">
    <vt:lpwstr>0x010100E2CB5C8DFAC1044B9A621F15B159E198</vt:lpwstr>
  </property>
</Properties>
</file>