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E" w:rsidRPr="00FC0D49" w:rsidRDefault="007D78EE" w:rsidP="007D78EE">
      <w:pPr>
        <w:jc w:val="center"/>
        <w:rPr>
          <w:rFonts w:ascii="Segoe UI" w:hAnsi="Segoe UI" w:cs="Segoe UI"/>
          <w:b/>
          <w:color w:val="0070C0"/>
          <w:sz w:val="56"/>
          <w:szCs w:val="56"/>
        </w:rPr>
      </w:pPr>
      <w:bookmarkStart w:id="0" w:name="_GoBack"/>
      <w:bookmarkEnd w:id="0"/>
      <w:r w:rsidRPr="00FC0D49">
        <w:rPr>
          <w:rFonts w:ascii="Segoe UI" w:hAnsi="Segoe UI" w:cs="Segoe UI"/>
          <w:b/>
          <w:color w:val="0070C0"/>
          <w:sz w:val="56"/>
          <w:szCs w:val="56"/>
        </w:rPr>
        <w:t>ANALYST CHECKLIST</w:t>
      </w:r>
    </w:p>
    <w:p w:rsidR="007D78EE" w:rsidRPr="00FC0D49" w:rsidRDefault="007D78EE" w:rsidP="007D78EE">
      <w:pPr>
        <w:jc w:val="center"/>
        <w:rPr>
          <w:rFonts w:ascii="Verdana" w:hAnsi="Verdana" w:cs="Segoe UI"/>
          <w:b/>
          <w:color w:val="002060"/>
          <w:sz w:val="32"/>
          <w:szCs w:val="32"/>
          <w:u w:val="single"/>
        </w:rPr>
      </w:pPr>
      <w:r w:rsidRPr="00FC0D49">
        <w:rPr>
          <w:rFonts w:ascii="Verdana" w:hAnsi="Verdana" w:cs="Segoe UI"/>
          <w:b/>
          <w:color w:val="002060"/>
          <w:sz w:val="32"/>
          <w:szCs w:val="32"/>
          <w:u w:val="single"/>
        </w:rPr>
        <w:t xml:space="preserve">INDIVIDUAL </w:t>
      </w:r>
      <w:r w:rsidR="005D2075" w:rsidRPr="00FC0D49">
        <w:rPr>
          <w:rFonts w:ascii="Verdana" w:hAnsi="Verdana" w:cs="Segoe UI"/>
          <w:b/>
          <w:color w:val="002060"/>
          <w:sz w:val="32"/>
          <w:szCs w:val="32"/>
          <w:u w:val="single"/>
        </w:rPr>
        <w:t>EMBEDDED</w:t>
      </w:r>
      <w:r w:rsidRPr="00FC0D49">
        <w:rPr>
          <w:rFonts w:ascii="Verdana" w:hAnsi="Verdana" w:cs="Segoe UI"/>
          <w:b/>
          <w:color w:val="002060"/>
          <w:sz w:val="32"/>
          <w:szCs w:val="32"/>
          <w:u w:val="single"/>
        </w:rPr>
        <w:t xml:space="preserve"> PEDIATRIC EHBs</w:t>
      </w:r>
    </w:p>
    <w:p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201</w:t>
      </w:r>
      <w:r w:rsidR="00FE3446">
        <w:rPr>
          <w:rFonts w:ascii="Segoe UI" w:hAnsi="Segoe UI" w:cs="Segoe UI"/>
          <w:b/>
        </w:rPr>
        <w:t>9</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2944EB" w:rsidRPr="0051595F" w:rsidTr="00ED53C0">
        <w:tc>
          <w:tcPr>
            <w:tcW w:w="6588" w:type="dxa"/>
          </w:tcPr>
          <w:p w:rsidR="002944EB" w:rsidRDefault="002944EB" w:rsidP="00ED53C0">
            <w:pPr>
              <w:pStyle w:val="NoSpacing"/>
            </w:pPr>
            <w:r>
              <w:t>Issuer: _________</w:t>
            </w:r>
            <w:r w:rsidRPr="00364901">
              <w:t>___</w:t>
            </w:r>
            <w:r>
              <w:t>_______________________________</w:t>
            </w:r>
          </w:p>
          <w:p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rsidR="003C76DB" w:rsidRPr="00861D73" w:rsidRDefault="003C76DB" w:rsidP="003C76DB">
            <w:pPr>
              <w:pStyle w:val="NoSpacing"/>
              <w:rPr>
                <w:u w:val="single"/>
              </w:rPr>
            </w:pPr>
            <w:r>
              <w:t xml:space="preserve">Network Name: ________________________________________     </w:t>
            </w:r>
            <w:r>
              <w:rPr>
                <w:u w:val="single"/>
              </w:rPr>
              <w:t xml:space="preserve">         </w:t>
            </w:r>
          </w:p>
          <w:p w:rsidR="003C76DB" w:rsidRDefault="003C76DB" w:rsidP="003C76DB">
            <w:pPr>
              <w:pStyle w:val="NoSpacing"/>
            </w:pPr>
            <w:r>
              <w:t>Sub-networks: __________________________________________</w:t>
            </w:r>
          </w:p>
          <w:p w:rsidR="003C76DB" w:rsidRDefault="003C76DB" w:rsidP="003C76DB">
            <w:pPr>
              <w:pStyle w:val="NoSpacing"/>
            </w:pPr>
            <w:r>
              <w:t>Provider Network Type (Single or Tiered*): ___________________</w:t>
            </w:r>
          </w:p>
          <w:p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rsidR="003C76DB" w:rsidRPr="00D63185" w:rsidRDefault="003C76DB" w:rsidP="003C76DB">
            <w:pPr>
              <w:pStyle w:val="NoSpacing"/>
              <w:rPr>
                <w:rFonts w:cs="Arial"/>
              </w:rPr>
            </w:pPr>
            <w:r w:rsidRPr="00D63185">
              <w:rPr>
                <w:rFonts w:cs="Arial"/>
              </w:rPr>
              <w:t>Network Line of Business (dental, medical, medical and vision, vision):</w:t>
            </w:r>
          </w:p>
          <w:p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rsidR="002944EB" w:rsidRDefault="002944EB" w:rsidP="002944EB">
      <w:r>
        <w:t xml:space="preserve">*TIERED as described in </w:t>
      </w:r>
      <w:hyperlink r:id="rId8" w:history="1">
        <w:r w:rsidRPr="00DB6916">
          <w:rPr>
            <w:rStyle w:val="Hyperlink"/>
          </w:rPr>
          <w:t>WAC 284-170-330</w:t>
        </w:r>
      </w:hyperlink>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proofErr w:type="gramStart"/>
      <w:r w:rsidR="00182AFB" w:rsidRPr="00FC0D49">
        <w:rPr>
          <w:rFonts w:ascii="Segoe UI" w:hAnsi="Segoe UI" w:cs="Segoe UI"/>
          <w:u w:val="single"/>
        </w:rPr>
        <w:t>:</w:t>
      </w:r>
      <w:proofErr w:type="gramEnd"/>
      <w:r w:rsidR="00182AFB" w:rsidRPr="00FC0D49">
        <w:rPr>
          <w:rFonts w:ascii="Segoe UI" w:hAnsi="Segoe UI" w:cs="Segoe UI"/>
        </w:rPr>
        <w:br/>
      </w:r>
      <w:r w:rsidR="00430083" w:rsidRPr="00FC0D49">
        <w:rPr>
          <w:rFonts w:ascii="Segoe UI" w:hAnsi="Segoe UI" w:cs="Segoe UI"/>
        </w:rPr>
        <w:t>For HCSCs - RCW 48.44.040, RCW 48.44.309, WAC 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rsidTr="003A0443">
        <w:tc>
          <w:tcPr>
            <w:tcW w:w="1435" w:type="dxa"/>
            <w:vMerge w:val="restart"/>
          </w:tcPr>
          <w:p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267E50" w:rsidRPr="00FC0D49" w:rsidRDefault="00267E50" w:rsidP="002444F2">
            <w:pPr>
              <w:rPr>
                <w:rFonts w:ascii="Segoe UI" w:hAnsi="Segoe UI" w:cs="Segoe UI"/>
                <w:highlight w:val="yellow"/>
              </w:rPr>
            </w:pPr>
          </w:p>
        </w:tc>
        <w:tc>
          <w:tcPr>
            <w:tcW w:w="1890" w:type="dxa"/>
            <w:tcBorders>
              <w:bottom w:val="nil"/>
            </w:tcBorders>
          </w:tcPr>
          <w:p w:rsidR="003A0443" w:rsidRDefault="00267E50" w:rsidP="005D4E79">
            <w:pPr>
              <w:jc w:val="center"/>
              <w:rPr>
                <w:rFonts w:ascii="Segoe UI" w:hAnsi="Segoe UI" w:cs="Segoe UI"/>
              </w:rPr>
            </w:pPr>
            <w:r w:rsidRPr="00FC0D49">
              <w:rPr>
                <w:rFonts w:ascii="Segoe UI" w:hAnsi="Segoe UI" w:cs="Segoe UI"/>
              </w:rPr>
              <w:t>42 USC 18022(a)(1)</w:t>
            </w:r>
            <w:r w:rsidR="006D4894">
              <w:rPr>
                <w:rFonts w:ascii="Segoe UI" w:hAnsi="Segoe UI" w:cs="Segoe UI"/>
              </w:rPr>
              <w:t>;</w:t>
            </w:r>
          </w:p>
          <w:p w:rsidR="00DE6511" w:rsidRPr="00FC0D49" w:rsidRDefault="00267E50" w:rsidP="005D4E79">
            <w:pPr>
              <w:jc w:val="center"/>
              <w:rPr>
                <w:rFonts w:ascii="Segoe UI" w:hAnsi="Segoe UI" w:cs="Segoe UI"/>
              </w:rPr>
            </w:pPr>
            <w:r w:rsidRPr="00FC0D49">
              <w:rPr>
                <w:rFonts w:ascii="Segoe UI" w:hAnsi="Segoe UI" w:cs="Segoe UI"/>
              </w:rPr>
              <w:t>42 USC §18022(b)(1)(J);</w:t>
            </w:r>
          </w:p>
          <w:p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WAC 284-43-560</w:t>
            </w:r>
            <w:r w:rsidR="004C6F95" w:rsidRPr="00FC0D49">
              <w:rPr>
                <w:rFonts w:ascii="Segoe UI" w:hAnsi="Segoe UI" w:cs="Segoe UI"/>
              </w:rPr>
              <w:t>2</w:t>
            </w:r>
            <w:r w:rsidR="00996AC8" w:rsidRPr="00FC0D49">
              <w:rPr>
                <w:rFonts w:ascii="Segoe UI" w:hAnsi="Segoe UI" w:cs="Segoe UI"/>
              </w:rPr>
              <w:t>;</w:t>
            </w:r>
          </w:p>
          <w:p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rsidR="00267E50" w:rsidRPr="00FC0D49" w:rsidRDefault="00267E50" w:rsidP="009775A6">
            <w:pPr>
              <w:rPr>
                <w:rFonts w:ascii="Segoe UI" w:eastAsia="Times New Roman" w:hAnsi="Segoe UI" w:cs="Segoe UI"/>
              </w:rPr>
            </w:pPr>
            <w:r w:rsidRPr="00FC0D4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267E50" w:rsidRPr="00FC0D49" w:rsidRDefault="00267E50" w:rsidP="007D78EE">
            <w:pPr>
              <w:rPr>
                <w:rFonts w:ascii="Segoe UI" w:hAnsi="Segoe UI" w:cs="Segoe UI"/>
              </w:rPr>
            </w:pPr>
          </w:p>
        </w:tc>
        <w:tc>
          <w:tcPr>
            <w:tcW w:w="1440" w:type="dxa"/>
            <w:tcBorders>
              <w:bottom w:val="nil"/>
            </w:tcBorders>
          </w:tcPr>
          <w:p w:rsidR="00267E50" w:rsidRPr="00FC0D49" w:rsidRDefault="00267E50" w:rsidP="007D78EE">
            <w:pPr>
              <w:rPr>
                <w:rFonts w:ascii="Segoe UI" w:hAnsi="Segoe UI" w:cs="Segoe UI"/>
              </w:rPr>
            </w:pPr>
          </w:p>
        </w:tc>
      </w:tr>
      <w:tr w:rsidR="00487EFD" w:rsidRPr="00FC0D49" w:rsidTr="003A0443">
        <w:tc>
          <w:tcPr>
            <w:tcW w:w="1435" w:type="dxa"/>
            <w:vMerge/>
            <w:shd w:val="clear" w:color="auto" w:fill="FFFFFF" w:themeFill="background1"/>
          </w:tcPr>
          <w:p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rsidR="00487EFD" w:rsidRPr="00FC0D49" w:rsidRDefault="00487EFD" w:rsidP="00F467EB">
            <w:pPr>
              <w:rPr>
                <w:rFonts w:ascii="Segoe UI" w:hAnsi="Segoe UI" w:cs="Segoe UI"/>
              </w:rPr>
            </w:pPr>
          </w:p>
        </w:tc>
      </w:tr>
      <w:tr w:rsidR="00F467EB" w:rsidRPr="00FC0D49" w:rsidTr="001D3ED1">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4D7EF4" w:rsidRPr="00FC0D49" w:rsidTr="00030CAE">
        <w:tc>
          <w:tcPr>
            <w:tcW w:w="1435" w:type="dxa"/>
            <w:vMerge w:val="restart"/>
          </w:tcPr>
          <w:p w:rsidR="004D7EF4" w:rsidRPr="00FC0D49" w:rsidRDefault="004D7EF4" w:rsidP="00DF5106">
            <w:pPr>
              <w:jc w:val="center"/>
              <w:rPr>
                <w:rFonts w:ascii="Segoe UI" w:hAnsi="Segoe UI" w:cs="Segoe UI"/>
                <w:b/>
              </w:rPr>
            </w:pPr>
            <w:r w:rsidRPr="00FC0D49">
              <w:rPr>
                <w:rFonts w:ascii="Segoe UI" w:hAnsi="Segoe UI" w:cs="Segoe UI"/>
                <w:b/>
              </w:rPr>
              <w:t>Crown and fixed bridge</w:t>
            </w: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B768E2" w:rsidRDefault="00B768E2" w:rsidP="00B94915">
            <w:pPr>
              <w:jc w:val="center"/>
              <w:rPr>
                <w:rFonts w:ascii="Segoe UI" w:hAnsi="Segoe UI" w:cs="Segoe UI"/>
                <w:b/>
              </w:rPr>
            </w:pPr>
          </w:p>
          <w:p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rsidR="004D7EF4" w:rsidRPr="00FC0D49" w:rsidRDefault="004D7EF4" w:rsidP="00F467EB">
            <w:pPr>
              <w:rPr>
                <w:rFonts w:ascii="Segoe UI" w:hAnsi="Segoe UI" w:cs="Segoe UI"/>
              </w:rPr>
            </w:pPr>
          </w:p>
        </w:tc>
        <w:tc>
          <w:tcPr>
            <w:tcW w:w="1350" w:type="dxa"/>
            <w:vMerge w:val="restart"/>
          </w:tcPr>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rsidR="004D7EF4" w:rsidRPr="003A0443" w:rsidRDefault="004D7EF4" w:rsidP="00F467EB">
            <w:pP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Pr="003A0443" w:rsidRDefault="004D7EF4" w:rsidP="00B94915">
            <w:pPr>
              <w:jc w:val="center"/>
              <w:rPr>
                <w:rFonts w:ascii="Segoe UI" w:hAnsi="Segoe UI" w:cs="Segoe UI"/>
              </w:rPr>
            </w:pPr>
            <w:r w:rsidRPr="003A0443">
              <w:rPr>
                <w:rFonts w:ascii="Segoe UI" w:hAnsi="Segoe UI" w:cs="Segoe UI"/>
              </w:rPr>
              <w:t>Required Coverage</w:t>
            </w:r>
            <w:r>
              <w:rPr>
                <w:rFonts w:ascii="Segoe UI" w:hAnsi="Segoe UI" w:cs="Segoe UI"/>
              </w:rPr>
              <w:t xml:space="preserve"> (Cont’d)</w:t>
            </w: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FC0D49" w:rsidRDefault="004D7EF4" w:rsidP="00371F7F">
            <w:pPr>
              <w:rPr>
                <w:rFonts w:ascii="Segoe UI" w:hAnsi="Segoe UI" w:cs="Segoe UI"/>
              </w:rPr>
            </w:pPr>
          </w:p>
        </w:tc>
        <w:tc>
          <w:tcPr>
            <w:tcW w:w="1890" w:type="dxa"/>
            <w:tcBorders>
              <w:bottom w:val="nil"/>
            </w:tcBorders>
          </w:tcPr>
          <w:p w:rsidR="004D7EF4" w:rsidRPr="00FC0D49" w:rsidRDefault="004D7EF4"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g).  See, also, WAC 284-43-5702(6).</w:t>
            </w:r>
          </w:p>
        </w:tc>
        <w:tc>
          <w:tcPr>
            <w:tcW w:w="6840" w:type="dxa"/>
            <w:tcBorders>
              <w:bottom w:val="nil"/>
            </w:tcBorders>
          </w:tcPr>
          <w:p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nil"/>
            </w:tcBorders>
          </w:tcPr>
          <w:p w:rsidR="004D7EF4" w:rsidRPr="00FC0D49" w:rsidRDefault="004D7EF4" w:rsidP="00F467EB">
            <w:pPr>
              <w:rPr>
                <w:rFonts w:ascii="Segoe UI" w:hAnsi="Segoe UI" w:cs="Segoe UI"/>
              </w:rPr>
            </w:pPr>
          </w:p>
        </w:tc>
        <w:tc>
          <w:tcPr>
            <w:tcW w:w="1440" w:type="dxa"/>
            <w:tcBorders>
              <w:bottom w:val="nil"/>
            </w:tcBorders>
          </w:tcPr>
          <w:p w:rsidR="004D7EF4" w:rsidRPr="00FC0D49" w:rsidRDefault="004D7EF4" w:rsidP="00F467EB">
            <w:pPr>
              <w:rPr>
                <w:rFonts w:ascii="Segoe UI" w:hAnsi="Segoe UI" w:cs="Segoe UI"/>
              </w:rPr>
            </w:pPr>
          </w:p>
        </w:tc>
      </w:tr>
      <w:tr w:rsidR="004D7EF4" w:rsidRPr="00FC0D49" w:rsidTr="00030CAE">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371F7F">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highlight w:val="yellow"/>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Recementations of permanent indirect crowns for Members 12 years of age and older;</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Borders>
              <w:bottom w:val="nil"/>
            </w:tcBorders>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tcBorders>
              <w:top w:val="nil"/>
              <w:bottom w:val="single" w:sz="4" w:space="0" w:color="auto"/>
            </w:tcBorders>
          </w:tcPr>
          <w:p w:rsidR="00F467EB" w:rsidRPr="003A0443" w:rsidRDefault="00F467EB" w:rsidP="00F467EB">
            <w:pPr>
              <w:rPr>
                <w:rFonts w:ascii="Segoe UI" w:hAnsi="Segoe UI" w:cs="Segoe UI"/>
              </w:rPr>
            </w:pPr>
          </w:p>
        </w:tc>
        <w:tc>
          <w:tcPr>
            <w:tcW w:w="1890" w:type="dxa"/>
            <w:tcBorders>
              <w:top w:val="nil"/>
              <w:bottom w:val="single" w:sz="4" w:space="0" w:color="auto"/>
            </w:tcBorders>
          </w:tcPr>
          <w:p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nil"/>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Diagnostic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371F7F" w:rsidRPr="00FC0D49" w:rsidRDefault="00371F7F" w:rsidP="00F467EB">
            <w:pPr>
              <w:rPr>
                <w:rFonts w:ascii="Segoe UI" w:hAnsi="Segoe UI" w:cs="Segoe UI"/>
                <w:b/>
              </w:rPr>
            </w:pPr>
          </w:p>
          <w:p w:rsidR="00B768E2" w:rsidRDefault="00B768E2" w:rsidP="00B94915">
            <w:pPr>
              <w:jc w:val="cente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rsidR="00F467EB" w:rsidRPr="00FC0D49" w:rsidRDefault="00F467EB" w:rsidP="00DF5106">
            <w:pPr>
              <w:jc w:val="center"/>
              <w:rPr>
                <w:rFonts w:ascii="Segoe UI" w:hAnsi="Segoe UI" w:cs="Segoe UI"/>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371F7F" w:rsidRPr="00FC0D49" w:rsidRDefault="00371F7F" w:rsidP="00371F7F">
            <w:pPr>
              <w:rPr>
                <w:rFonts w:ascii="Segoe UI" w:hAnsi="Segoe UI" w:cs="Segoe UI"/>
              </w:rPr>
            </w:pPr>
          </w:p>
          <w:p w:rsidR="00371F7F" w:rsidRDefault="00371F7F" w:rsidP="00371F7F">
            <w:pPr>
              <w:rPr>
                <w:rFonts w:ascii="Segoe UI" w:hAnsi="Segoe UI" w:cs="Segoe UI"/>
              </w:rPr>
            </w:pPr>
          </w:p>
          <w:p w:rsidR="007D6AA7" w:rsidRPr="00FC0D49" w:rsidRDefault="007D6AA7" w:rsidP="007D6AA7">
            <w:pPr>
              <w:jc w:val="center"/>
              <w:rPr>
                <w:rFonts w:ascii="Segoe UI" w:hAnsi="Segoe UI" w:cs="Segoe UI"/>
              </w:rPr>
            </w:pPr>
            <w:r>
              <w:rPr>
                <w:rFonts w:ascii="Segoe UI" w:hAnsi="Segoe UI" w:cs="Segoe UI"/>
              </w:rPr>
              <w:t xml:space="preserve">Required Diagnostic Services </w:t>
            </w:r>
            <w:r>
              <w:rPr>
                <w:rFonts w:ascii="Segoe UI" w:hAnsi="Segoe UI" w:cs="Segoe UI"/>
              </w:rPr>
              <w:lastRenderedPageBreak/>
              <w:t>Without Cost Sharing (Cont’d)</w:t>
            </w:r>
          </w:p>
          <w:p w:rsidR="00F467EB" w:rsidRPr="00FC0D49" w:rsidRDefault="00F467EB" w:rsidP="00DF5106">
            <w:pPr>
              <w:jc w:val="center"/>
              <w:rPr>
                <w:rFonts w:ascii="Segoe UI" w:hAnsi="Segoe UI" w:cs="Segoe UI"/>
              </w:rPr>
            </w:pPr>
          </w:p>
        </w:tc>
        <w:tc>
          <w:tcPr>
            <w:tcW w:w="1890" w:type="dxa"/>
            <w:tcBorders>
              <w:bottom w:val="nil"/>
            </w:tcBorders>
          </w:tcPr>
          <w:p w:rsidR="00F467EB" w:rsidRPr="00FC0D49" w:rsidRDefault="00F467EB"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a).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Endodontic Treatment</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156532" w:rsidRDefault="00156532" w:rsidP="00F467EB">
            <w:pP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rsidR="00156532" w:rsidRPr="00FC0D49" w:rsidRDefault="00156532" w:rsidP="00DF5106">
            <w:pPr>
              <w:jc w:val="center"/>
              <w:rPr>
                <w:rFonts w:ascii="Segoe UI" w:hAnsi="Segoe UI" w:cs="Segoe UI"/>
                <w:b/>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rsidR="00F467EB" w:rsidRPr="00FC0D49" w:rsidRDefault="00F467EB" w:rsidP="00DF5106">
            <w:pPr>
              <w:jc w:val="center"/>
              <w:rPr>
                <w:rFonts w:ascii="Segoe UI" w:hAnsi="Segoe UI" w:cs="Segoe UI"/>
              </w:rPr>
            </w:pPr>
            <w:r w:rsidRPr="00FC0D49">
              <w:rPr>
                <w:rFonts w:ascii="Segoe UI" w:hAnsi="Segoe UI" w:cs="Segoe UI"/>
              </w:rPr>
              <w:t>Endodontic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Default="00F467EB"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rsidR="00F467EB" w:rsidRDefault="00F467EB"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tc>
        <w:tc>
          <w:tcPr>
            <w:tcW w:w="1890" w:type="dxa"/>
            <w:vMerge w:val="restart"/>
          </w:tcPr>
          <w:p w:rsidR="00F467EB" w:rsidRPr="00FC0D49" w:rsidRDefault="006A7ECB" w:rsidP="006A7ECB">
            <w:pPr>
              <w:jc w:val="center"/>
              <w:rPr>
                <w:rFonts w:ascii="Segoe UI" w:hAnsi="Segoe UI" w:cs="Segoe UI"/>
              </w:rPr>
            </w:pPr>
            <w:r>
              <w:rPr>
                <w:rFonts w:ascii="Segoe UI" w:hAnsi="Segoe UI" w:cs="Segoe UI"/>
              </w:rPr>
              <w:lastRenderedPageBreak/>
              <w:t>WAC 284-43-5702(4</w:t>
            </w:r>
            <w:proofErr w:type="gramStart"/>
            <w:r>
              <w:rPr>
                <w:rFonts w:ascii="Segoe UI" w:hAnsi="Segoe UI" w:cs="Segoe UI"/>
              </w:rPr>
              <w:t>)(</w:t>
            </w:r>
            <w:proofErr w:type="gramEnd"/>
            <w:r>
              <w:rPr>
                <w:rFonts w:ascii="Segoe UI" w:hAnsi="Segoe UI" w:cs="Segoe UI"/>
              </w:rPr>
              <w:t xml:space="preserve">e) </w:t>
            </w:r>
            <w:r w:rsidR="00F467EB" w:rsidRPr="00FC0D49">
              <w:rPr>
                <w:rFonts w:ascii="Segoe UI" w:hAnsi="Segoe UI" w:cs="Segoe UI"/>
              </w:rPr>
              <w:t>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rPr>
          <w:trHeight w:val="70"/>
        </w:trPr>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nil"/>
            </w:tcBorders>
          </w:tcPr>
          <w:p w:rsidR="00F467EB" w:rsidRPr="00FC0D49" w:rsidRDefault="00F467EB" w:rsidP="005D4E79">
            <w:pPr>
              <w:jc w:val="center"/>
              <w:rPr>
                <w:rFonts w:ascii="Segoe UI" w:hAnsi="Segoe UI" w:cs="Segoe UI"/>
              </w:rPr>
            </w:pPr>
            <w:r w:rsidRPr="00FC0D49">
              <w:rPr>
                <w:rFonts w:ascii="Segoe UI" w:hAnsi="Segoe UI" w:cs="Segoe UI"/>
              </w:rPr>
              <w:t>WAC 284-43-5702(5)(n)and (o)</w:t>
            </w:r>
          </w:p>
        </w:tc>
        <w:tc>
          <w:tcPr>
            <w:tcW w:w="6840" w:type="dxa"/>
            <w:tcBorders>
              <w:top w:val="nil"/>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nil"/>
            </w:tcBorders>
          </w:tcPr>
          <w:p w:rsidR="00F467EB" w:rsidRPr="00FC0D49" w:rsidRDefault="00F467EB" w:rsidP="005D4E79">
            <w:pPr>
              <w:jc w:val="center"/>
              <w:rPr>
                <w:rFonts w:ascii="Segoe UI" w:hAnsi="Segoe UI" w:cs="Segoe UI"/>
              </w:rPr>
            </w:pPr>
            <w:r w:rsidRPr="00FC0D49">
              <w:rPr>
                <w:rFonts w:ascii="Segoe UI" w:hAnsi="Segoe UI" w:cs="Segoe UI"/>
              </w:rPr>
              <w:t>WAC 284-43-5702(5)(n)</w:t>
            </w:r>
          </w:p>
          <w:p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nil"/>
              <w:bottom w:val="nil"/>
            </w:tcBorders>
          </w:tcPr>
          <w:p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9C749A">
            <w:pPr>
              <w:pStyle w:val="ListParagraph"/>
              <w:numPr>
                <w:ilvl w:val="2"/>
                <w:numId w:val="35"/>
              </w:numPr>
              <w:ind w:left="961"/>
              <w:rPr>
                <w:rFonts w:ascii="Segoe UI" w:hAnsi="Segoe UI" w:cs="Segoe UI"/>
                <w:sz w:val="18"/>
                <w:szCs w:val="18"/>
              </w:rPr>
            </w:pPr>
            <w:proofErr w:type="gramStart"/>
            <w:r w:rsidRPr="00FC0D49">
              <w:rPr>
                <w:rFonts w:ascii="Segoe UI" w:hAnsi="Segoe UI" w:cs="Segoe UI"/>
              </w:rPr>
              <w:t>permanent</w:t>
            </w:r>
            <w:proofErr w:type="gramEnd"/>
            <w:r w:rsidRPr="00FC0D49">
              <w:rPr>
                <w:rFonts w:ascii="Segoe UI" w:hAnsi="Segoe UI" w:cs="Segoe UI"/>
              </w:rPr>
              <w:t xml:space="preserve"> anterior, bicuspid and molar teeth, excluding teeth 1,6,17, and 32.</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Treatment with resorbable material for primary maxillary incisor teeth D,E, F, and G, if the entire root is present at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nil"/>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F467EB">
            <w:pPr>
              <w:rPr>
                <w:rFonts w:ascii="Segoe UI" w:hAnsi="Segoe UI" w:cs="Segoe UI"/>
              </w:rPr>
            </w:pPr>
          </w:p>
        </w:tc>
        <w:tc>
          <w:tcPr>
            <w:tcW w:w="1890" w:type="dxa"/>
            <w:tcBorders>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E221CC" w:rsidRPr="00FC0D49" w:rsidTr="00EC799D">
        <w:tc>
          <w:tcPr>
            <w:tcW w:w="1435" w:type="dxa"/>
            <w:vMerge w:val="restart"/>
          </w:tcPr>
          <w:p w:rsidR="00E221CC" w:rsidRDefault="00E221CC" w:rsidP="00DF5106">
            <w:pPr>
              <w:jc w:val="center"/>
              <w:rPr>
                <w:rFonts w:ascii="Segoe UI" w:hAnsi="Segoe UI" w:cs="Segoe UI"/>
                <w:b/>
              </w:rPr>
            </w:pPr>
            <w:r w:rsidRPr="00FC0D49">
              <w:rPr>
                <w:rFonts w:ascii="Segoe UI" w:hAnsi="Segoe UI" w:cs="Segoe UI"/>
                <w:b/>
              </w:rPr>
              <w:t>Medically Necessary Orthodontia</w:t>
            </w: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B768E2" w:rsidRDefault="00B768E2" w:rsidP="00DF5106">
            <w:pPr>
              <w:jc w:val="center"/>
              <w:rPr>
                <w:rFonts w:ascii="Segoe UI" w:hAnsi="Segoe UI" w:cs="Segoe UI"/>
                <w:b/>
              </w:rPr>
            </w:pPr>
          </w:p>
          <w:p w:rsidR="00E221CC" w:rsidRPr="00FC0D49" w:rsidRDefault="00E221CC" w:rsidP="00DF5106">
            <w:pPr>
              <w:jc w:val="center"/>
              <w:rPr>
                <w:rFonts w:ascii="Segoe UI" w:hAnsi="Segoe UI" w:cs="Segoe UI"/>
                <w:b/>
              </w:rPr>
            </w:pPr>
          </w:p>
        </w:tc>
        <w:tc>
          <w:tcPr>
            <w:tcW w:w="1350" w:type="dxa"/>
            <w:vMerge w:val="restart"/>
          </w:tcPr>
          <w:p w:rsidR="00E221CC" w:rsidRDefault="00E221CC" w:rsidP="00E221CC">
            <w:pPr>
              <w:jc w:val="center"/>
              <w:rPr>
                <w:rFonts w:ascii="Segoe UI" w:hAnsi="Segoe UI" w:cs="Segoe UI"/>
              </w:rPr>
            </w:pPr>
            <w:r>
              <w:rPr>
                <w:rFonts w:ascii="Segoe UI" w:hAnsi="Segoe UI" w:cs="Segoe UI"/>
              </w:rPr>
              <w:t>Required Services</w:t>
            </w: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rPr>
                <w:rFonts w:ascii="Segoe UI" w:hAnsi="Segoe UI" w:cs="Segoe UI"/>
              </w:rPr>
            </w:pPr>
          </w:p>
          <w:p w:rsidR="00E221CC" w:rsidRPr="00FC0D49" w:rsidRDefault="00E221CC" w:rsidP="00E221CC">
            <w:pPr>
              <w:jc w:val="center"/>
              <w:rPr>
                <w:rFonts w:ascii="Segoe UI" w:hAnsi="Segoe UI" w:cs="Segoe UI"/>
              </w:rPr>
            </w:pPr>
          </w:p>
        </w:tc>
        <w:tc>
          <w:tcPr>
            <w:tcW w:w="1890" w:type="dxa"/>
            <w:tcBorders>
              <w:bottom w:val="nil"/>
            </w:tcBorders>
          </w:tcPr>
          <w:p w:rsidR="00E221CC" w:rsidRPr="00FC0D49" w:rsidRDefault="00E221CC" w:rsidP="005D4E79">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i).  See, also, WAC 284-43-5702(6).</w:t>
            </w:r>
          </w:p>
        </w:tc>
        <w:tc>
          <w:tcPr>
            <w:tcW w:w="6840" w:type="dxa"/>
            <w:tcBorders>
              <w:bottom w:val="nil"/>
            </w:tcBorders>
          </w:tcPr>
          <w:p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nil"/>
            </w:tcBorders>
          </w:tcPr>
          <w:p w:rsidR="00E221CC" w:rsidRPr="00FC0D49" w:rsidRDefault="00E221CC" w:rsidP="00F467EB">
            <w:pPr>
              <w:rPr>
                <w:rFonts w:ascii="Segoe UI" w:hAnsi="Segoe UI" w:cs="Segoe UI"/>
              </w:rPr>
            </w:pPr>
          </w:p>
        </w:tc>
        <w:tc>
          <w:tcPr>
            <w:tcW w:w="1440" w:type="dxa"/>
            <w:tcBorders>
              <w:bottom w:val="nil"/>
            </w:tcBorders>
          </w:tcPr>
          <w:p w:rsidR="00E221CC" w:rsidRPr="00FC0D49" w:rsidRDefault="00E221CC" w:rsidP="00F467EB">
            <w:pPr>
              <w:rPr>
                <w:rFonts w:ascii="Segoe UI" w:hAnsi="Segoe UI" w:cs="Segoe UI"/>
              </w:rPr>
            </w:pPr>
          </w:p>
        </w:tc>
      </w:tr>
      <w:tr w:rsidR="00E221CC" w:rsidRPr="00FC0D49" w:rsidTr="00EC799D">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nil"/>
              <w:bottom w:val="nil"/>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nil"/>
              <w:bottom w:val="nil"/>
            </w:tcBorders>
          </w:tcPr>
          <w:p w:rsidR="00E221CC" w:rsidRPr="00FC0D49" w:rsidRDefault="00E221CC" w:rsidP="00F467EB">
            <w:pPr>
              <w:rPr>
                <w:rFonts w:ascii="Segoe UI" w:hAnsi="Segoe UI" w:cs="Segoe UI"/>
              </w:rPr>
            </w:pPr>
          </w:p>
        </w:tc>
        <w:tc>
          <w:tcPr>
            <w:tcW w:w="1440" w:type="dxa"/>
            <w:tcBorders>
              <w:top w:val="nil"/>
              <w:bottom w:val="nil"/>
            </w:tcBorders>
          </w:tcPr>
          <w:p w:rsidR="00E221CC" w:rsidRPr="00FC0D49" w:rsidRDefault="00E221CC" w:rsidP="00F467EB">
            <w:pPr>
              <w:rPr>
                <w:rFonts w:ascii="Segoe UI" w:hAnsi="Segoe UI" w:cs="Segoe UI"/>
              </w:rPr>
            </w:pPr>
          </w:p>
        </w:tc>
      </w:tr>
      <w:tr w:rsidR="00E221CC" w:rsidRPr="00FC0D49" w:rsidTr="00D22F31">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nil"/>
              <w:bottom w:val="nil"/>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nil"/>
              <w:bottom w:val="nil"/>
            </w:tcBorders>
          </w:tcPr>
          <w:p w:rsidR="00E221CC" w:rsidRPr="00FC0D49" w:rsidRDefault="00E221CC" w:rsidP="00F467EB">
            <w:pPr>
              <w:rPr>
                <w:rFonts w:ascii="Segoe UI" w:hAnsi="Segoe UI" w:cs="Segoe UI"/>
              </w:rPr>
            </w:pPr>
          </w:p>
        </w:tc>
        <w:tc>
          <w:tcPr>
            <w:tcW w:w="1440" w:type="dxa"/>
            <w:tcBorders>
              <w:top w:val="nil"/>
              <w:bottom w:val="nil"/>
            </w:tcBorders>
          </w:tcPr>
          <w:p w:rsidR="00E221CC" w:rsidRPr="00FC0D49" w:rsidRDefault="00E221CC" w:rsidP="00F467EB">
            <w:pPr>
              <w:rPr>
                <w:rFonts w:ascii="Segoe UI" w:hAnsi="Segoe UI" w:cs="Segoe UI"/>
              </w:rPr>
            </w:pPr>
          </w:p>
        </w:tc>
      </w:tr>
      <w:tr w:rsidR="00E221CC" w:rsidRPr="00FC0D49" w:rsidTr="00D22F31">
        <w:tc>
          <w:tcPr>
            <w:tcW w:w="1435" w:type="dxa"/>
            <w:vMerge/>
          </w:tcPr>
          <w:p w:rsidR="00E221CC" w:rsidRPr="00FC0D49" w:rsidRDefault="00E221CC" w:rsidP="00F467EB">
            <w:pPr>
              <w:rPr>
                <w:rFonts w:ascii="Segoe UI" w:hAnsi="Segoe UI" w:cs="Segoe UI"/>
                <w:b/>
              </w:rPr>
            </w:pPr>
          </w:p>
        </w:tc>
        <w:tc>
          <w:tcPr>
            <w:tcW w:w="1350" w:type="dxa"/>
            <w:vMerge/>
            <w:tcBorders>
              <w:bottom w:val="single" w:sz="4" w:space="0" w:color="auto"/>
            </w:tcBorders>
          </w:tcPr>
          <w:p w:rsidR="00E221CC" w:rsidRPr="00FC0D49" w:rsidRDefault="00E221CC" w:rsidP="00F467EB">
            <w:pPr>
              <w:rPr>
                <w:rFonts w:ascii="Segoe UI" w:hAnsi="Segoe UI" w:cs="Segoe UI"/>
              </w:rPr>
            </w:pPr>
          </w:p>
        </w:tc>
        <w:tc>
          <w:tcPr>
            <w:tcW w:w="1890" w:type="dxa"/>
            <w:tcBorders>
              <w:top w:val="nil"/>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proofErr w:type="gramStart"/>
            <w:r w:rsidRPr="00FC0D49">
              <w:rPr>
                <w:rFonts w:ascii="Segoe UI" w:eastAsia="SymbolMT" w:hAnsi="Segoe UI" w:cs="Segoe UI"/>
              </w:rPr>
              <w:t>craniofacial</w:t>
            </w:r>
            <w:proofErr w:type="gramEnd"/>
            <w:r w:rsidRPr="00FC0D49">
              <w:rPr>
                <w:rFonts w:ascii="Segoe UI" w:eastAsia="SymbolMT" w:hAnsi="Segoe UI" w:cs="Segoe UI"/>
              </w:rPr>
              <w:t xml:space="preserve"> anomalies for hemifacial microsomia, craniosynostosis syndromes, anthrogryposis or Marfan syndrome.</w:t>
            </w:r>
          </w:p>
        </w:tc>
        <w:tc>
          <w:tcPr>
            <w:tcW w:w="1620" w:type="dxa"/>
            <w:tcBorders>
              <w:top w:val="nil"/>
              <w:bottom w:val="single" w:sz="4" w:space="0" w:color="auto"/>
            </w:tcBorders>
          </w:tcPr>
          <w:p w:rsidR="00E221CC" w:rsidRPr="00FC0D49" w:rsidRDefault="00E221CC" w:rsidP="00F467EB">
            <w:pPr>
              <w:rPr>
                <w:rFonts w:ascii="Segoe UI" w:hAnsi="Segoe UI" w:cs="Segoe UI"/>
              </w:rPr>
            </w:pPr>
          </w:p>
        </w:tc>
        <w:tc>
          <w:tcPr>
            <w:tcW w:w="1440" w:type="dxa"/>
            <w:tcBorders>
              <w:top w:val="nil"/>
              <w:bottom w:val="single" w:sz="4" w:space="0" w:color="auto"/>
            </w:tcBorders>
          </w:tcPr>
          <w:p w:rsidR="00E221CC" w:rsidRPr="00FC0D49" w:rsidRDefault="00E221CC"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r>
      <w:tr w:rsidR="00B17DD8" w:rsidRPr="00FC0D49" w:rsidTr="00B17DD8">
        <w:tc>
          <w:tcPr>
            <w:tcW w:w="1435" w:type="dxa"/>
            <w:vMerge w:val="restart"/>
          </w:tcPr>
          <w:p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B17DD8"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Pr="00FC0D49" w:rsidRDefault="001D19CF" w:rsidP="00F467EB">
            <w:pP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Default="00B17DD8"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B17DD8"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DB3BD3" w:rsidRDefault="00DB3BD3" w:rsidP="00DF5106">
            <w:pPr>
              <w:jc w:val="center"/>
              <w:rPr>
                <w:rFonts w:ascii="Segoe UI" w:hAnsi="Segoe UI" w:cs="Segoe UI"/>
              </w:rPr>
            </w:pPr>
          </w:p>
          <w:p w:rsidR="00DB3BD3" w:rsidRDefault="00DB3BD3" w:rsidP="00DF5106">
            <w:pPr>
              <w:jc w:val="center"/>
              <w:rPr>
                <w:rFonts w:ascii="Segoe UI" w:hAnsi="Segoe UI" w:cs="Segoe UI"/>
              </w:rPr>
            </w:pPr>
          </w:p>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nil"/>
            </w:tcBorders>
          </w:tcPr>
          <w:p w:rsidR="00B17DD8" w:rsidRPr="00FC0D49" w:rsidRDefault="00B17DD8" w:rsidP="006A7ECB">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d) See, also, WAC 284-43-5702(6).</w:t>
            </w:r>
          </w:p>
        </w:tc>
        <w:tc>
          <w:tcPr>
            <w:tcW w:w="6840" w:type="dxa"/>
            <w:tcBorders>
              <w:bottom w:val="nil"/>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nil"/>
            </w:tcBorders>
          </w:tcPr>
          <w:p w:rsidR="00B17DD8" w:rsidRPr="00FC0D49" w:rsidRDefault="00B17DD8" w:rsidP="00F467EB">
            <w:pPr>
              <w:rPr>
                <w:rFonts w:ascii="Segoe UI" w:hAnsi="Segoe UI" w:cs="Segoe UI"/>
              </w:rPr>
            </w:pPr>
          </w:p>
        </w:tc>
        <w:tc>
          <w:tcPr>
            <w:tcW w:w="1440" w:type="dxa"/>
            <w:tcBorders>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Frenulectomy or frenuloplasty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Complex oral surgery procedures including surgical extractions of teeth, impactions, alveoloplasty, vestibuloplasty, and residual root removal;</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rPr>
          <w:trHeight w:val="836"/>
        </w:trPr>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Borders>
              <w:bottom w:val="single" w:sz="4" w:space="0" w:color="auto"/>
            </w:tcBorders>
          </w:tcPr>
          <w:p w:rsidR="00B17DD8" w:rsidRPr="00FC0D49" w:rsidRDefault="00B17DD8" w:rsidP="00F467EB">
            <w:pPr>
              <w:rPr>
                <w:rFonts w:ascii="Segoe UI" w:hAnsi="Segoe UI" w:cs="Segoe UI"/>
              </w:rPr>
            </w:pPr>
          </w:p>
        </w:tc>
        <w:tc>
          <w:tcPr>
            <w:tcW w:w="1890" w:type="dxa"/>
            <w:tcBorders>
              <w:top w:val="nil"/>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0"/>
              <w:rPr>
                <w:rFonts w:ascii="Segoe UI" w:hAnsi="Segoe UI" w:cs="Segoe UI"/>
              </w:rPr>
            </w:pPr>
            <w:r w:rsidRPr="00FC0D49">
              <w:rPr>
                <w:rFonts w:ascii="Segoe UI" w:hAnsi="Segoe UI" w:cs="Segoe UI"/>
                <w:sz w:val="18"/>
              </w:rPr>
              <w:lastRenderedPageBreak/>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nil"/>
              <w:bottom w:val="single" w:sz="4" w:space="0" w:color="auto"/>
            </w:tcBorders>
          </w:tcPr>
          <w:p w:rsidR="00B17DD8" w:rsidRPr="00FC0D49" w:rsidRDefault="00B17DD8" w:rsidP="00F467EB">
            <w:pPr>
              <w:rPr>
                <w:rFonts w:ascii="Segoe UI" w:hAnsi="Segoe UI" w:cs="Segoe UI"/>
              </w:rPr>
            </w:pPr>
          </w:p>
        </w:tc>
        <w:tc>
          <w:tcPr>
            <w:tcW w:w="1440" w:type="dxa"/>
            <w:tcBorders>
              <w:top w:val="nil"/>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bottom w:val="single" w:sz="4" w:space="0" w:color="auto"/>
            </w:tcBorders>
          </w:tcPr>
          <w:p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orognathic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3A509B" w:rsidP="003A509B">
            <w:pPr>
              <w:jc w:val="center"/>
              <w:rPr>
                <w:rFonts w:ascii="Segoe UI" w:hAnsi="Segoe UI" w:cs="Segoe UI"/>
                <w:b/>
              </w:rPr>
            </w:pPr>
            <w:r>
              <w:rPr>
                <w:rFonts w:ascii="Segoe UI" w:hAnsi="Segoe UI" w:cs="Segoe UI"/>
                <w:b/>
              </w:rPr>
              <w:t>Periodontics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3A509B" w:rsidRPr="00FC0D49" w:rsidRDefault="003A509B" w:rsidP="00DF5106">
            <w:pPr>
              <w:jc w:val="center"/>
              <w:rPr>
                <w:rFonts w:ascii="Segoe UI" w:hAnsi="Segoe UI" w:cs="Segoe UI"/>
                <w:b/>
              </w:rPr>
            </w:pPr>
          </w:p>
        </w:tc>
        <w:tc>
          <w:tcPr>
            <w:tcW w:w="1350" w:type="dxa"/>
            <w:vMerge w:val="restart"/>
          </w:tcPr>
          <w:p w:rsidR="00F467EB" w:rsidRDefault="003A509B" w:rsidP="003A509B">
            <w:pPr>
              <w:jc w:val="center"/>
              <w:rPr>
                <w:rFonts w:ascii="Segoe UI" w:hAnsi="Segoe UI" w:cs="Segoe UI"/>
              </w:rPr>
            </w:pPr>
            <w:r>
              <w:rPr>
                <w:rFonts w:ascii="Segoe UI" w:hAnsi="Segoe UI" w:cs="Segoe UI"/>
              </w:rPr>
              <w:t>Required</w:t>
            </w:r>
          </w:p>
          <w:p w:rsidR="003A509B" w:rsidRPr="00FC0D49" w:rsidRDefault="003A509B" w:rsidP="003A509B">
            <w:pPr>
              <w:jc w:val="center"/>
              <w:rPr>
                <w:rFonts w:ascii="Segoe UI" w:hAnsi="Segoe UI" w:cs="Segoe UI"/>
              </w:rPr>
            </w:pPr>
            <w:r>
              <w:rPr>
                <w:rFonts w:ascii="Segoe UI" w:hAnsi="Segoe UI" w:cs="Segoe UI"/>
              </w:rPr>
              <w:t>Periodontic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05771" w:rsidRPr="00FC0D49" w:rsidRDefault="00F05771" w:rsidP="00F05771">
            <w:pPr>
              <w:rPr>
                <w:rFonts w:ascii="Segoe UI" w:hAnsi="Segoe UI" w:cs="Segoe UI"/>
              </w:rPr>
            </w:pPr>
          </w:p>
          <w:p w:rsidR="003A509B" w:rsidRPr="00FC0D49" w:rsidRDefault="003A509B" w:rsidP="00DF5106">
            <w:pPr>
              <w:jc w:val="center"/>
              <w:rPr>
                <w:rFonts w:ascii="Segoe UI" w:hAnsi="Segoe UI" w:cs="Segoe UI"/>
              </w:rPr>
            </w:pPr>
          </w:p>
        </w:tc>
        <w:tc>
          <w:tcPr>
            <w:tcW w:w="1890" w:type="dxa"/>
            <w:tcBorders>
              <w:bottom w:val="nil"/>
            </w:tcBorders>
          </w:tcPr>
          <w:p w:rsidR="00F467EB" w:rsidRPr="00FC0D49" w:rsidRDefault="00F467EB" w:rsidP="006A7ECB">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f) See, also, WAC 284-43-5702(6).</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rPr>
              <w:t>Plan must cover periodontic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scaling and root planning once per quadrant in a two-year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Complex periodontal procedures (osseous surgery including flap entry and closure and mucogingivoplastic surgery) limited to once per Member per quadrant in a five-year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Gingivectomy and gingivoplasty limited to once per Member per quadrant in a three-year period.</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17DD8" w:rsidP="00DF5106">
            <w:pPr>
              <w:jc w:val="center"/>
              <w:rPr>
                <w:rFonts w:ascii="Segoe UI" w:hAnsi="Segoe UI" w:cs="Segoe UI"/>
                <w:b/>
              </w:rPr>
            </w:pPr>
            <w:r>
              <w:rPr>
                <w:rFonts w:ascii="Segoe UI" w:hAnsi="Segoe UI" w:cs="Segoe UI"/>
                <w:b/>
              </w:rPr>
              <w:t>Preventive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DB3BD3" w:rsidRDefault="00DB3BD3" w:rsidP="00DB3BD3">
            <w:pPr>
              <w:jc w:val="center"/>
              <w:rPr>
                <w:rFonts w:ascii="Segoe UI" w:hAnsi="Segoe UI" w:cs="Segoe UI"/>
                <w:b/>
              </w:rPr>
            </w:pPr>
            <w:r>
              <w:rPr>
                <w:rFonts w:ascii="Segoe UI" w:hAnsi="Segoe UI" w:cs="Segoe UI"/>
                <w:b/>
              </w:rPr>
              <w:lastRenderedPageBreak/>
              <w:t>Preventive Services</w:t>
            </w:r>
          </w:p>
          <w:p w:rsidR="00DB3BD3" w:rsidRPr="00FC0D49" w:rsidRDefault="00DB3BD3" w:rsidP="00DB3BD3">
            <w:pPr>
              <w:jc w:val="center"/>
              <w:rPr>
                <w:rFonts w:ascii="Segoe UI" w:hAnsi="Segoe UI" w:cs="Segoe UI"/>
                <w:b/>
              </w:rPr>
            </w:pPr>
            <w:r>
              <w:rPr>
                <w:rFonts w:ascii="Segoe UI" w:hAnsi="Segoe UI" w:cs="Segoe UI"/>
                <w:b/>
              </w:rPr>
              <w:t>(Cont’d)</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397940">
            <w:pPr>
              <w:jc w:val="center"/>
              <w:rPr>
                <w:rFonts w:ascii="Segoe UI" w:hAnsi="Segoe UI" w:cs="Segoe UI"/>
                <w:b/>
              </w:rPr>
            </w:pPr>
          </w:p>
          <w:p w:rsidR="006C222C" w:rsidRPr="00FC0D49" w:rsidRDefault="006C222C" w:rsidP="00F467EB">
            <w:pPr>
              <w:rPr>
                <w:rFonts w:ascii="Segoe UI" w:hAnsi="Segoe UI" w:cs="Segoe UI"/>
                <w:b/>
              </w:rPr>
            </w:pPr>
          </w:p>
          <w:p w:rsidR="006C222C" w:rsidRDefault="006C222C" w:rsidP="00F467EB">
            <w:pPr>
              <w:rPr>
                <w:rFonts w:ascii="Segoe UI" w:hAnsi="Segoe UI" w:cs="Segoe UI"/>
                <w:b/>
              </w:rPr>
            </w:pPr>
          </w:p>
          <w:p w:rsidR="006C222C" w:rsidRPr="00FC0D49" w:rsidRDefault="006C222C" w:rsidP="00E45473">
            <w:pPr>
              <w:jc w:val="center"/>
              <w:rPr>
                <w:rFonts w:ascii="Segoe UI" w:hAnsi="Segoe UI" w:cs="Segoe UI"/>
                <w:b/>
              </w:rPr>
            </w:pPr>
          </w:p>
        </w:tc>
        <w:tc>
          <w:tcPr>
            <w:tcW w:w="1350" w:type="dxa"/>
            <w:vMerge w:val="restart"/>
          </w:tcPr>
          <w:p w:rsidR="00F467EB" w:rsidRPr="00FC0D49" w:rsidRDefault="00B17DD8" w:rsidP="00DF5106">
            <w:pPr>
              <w:jc w:val="center"/>
              <w:rPr>
                <w:rFonts w:ascii="Segoe UI" w:hAnsi="Segoe UI" w:cs="Segoe UI"/>
              </w:rPr>
            </w:pPr>
            <w:r>
              <w:rPr>
                <w:rFonts w:ascii="Segoe UI" w:hAnsi="Segoe UI" w:cs="Segoe UI"/>
              </w:rPr>
              <w:lastRenderedPageBreak/>
              <w:t>Required</w:t>
            </w:r>
            <w:r w:rsidR="00397940">
              <w:rPr>
                <w:rFonts w:ascii="Segoe UI" w:hAnsi="Segoe UI" w:cs="Segoe UI"/>
              </w:rPr>
              <w:t xml:space="preserve"> Preventive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DB3BD3" w:rsidRPr="00FC0D49" w:rsidRDefault="00DB3BD3" w:rsidP="00DB3BD3">
            <w:pPr>
              <w:jc w:val="center"/>
              <w:rPr>
                <w:rFonts w:ascii="Segoe UI" w:hAnsi="Segoe UI" w:cs="Segoe UI"/>
              </w:rPr>
            </w:pPr>
            <w:r>
              <w:rPr>
                <w:rFonts w:ascii="Segoe UI" w:hAnsi="Segoe UI" w:cs="Segoe UI"/>
              </w:rPr>
              <w:lastRenderedPageBreak/>
              <w:t>Required Preventive Services</w:t>
            </w:r>
          </w:p>
          <w:p w:rsidR="00F467EB" w:rsidRPr="00FC0D49" w:rsidRDefault="00DB3BD3" w:rsidP="00DB3BD3">
            <w:pPr>
              <w:jc w:val="center"/>
              <w:rPr>
                <w:rFonts w:ascii="Segoe UI" w:hAnsi="Segoe UI" w:cs="Segoe UI"/>
              </w:rPr>
            </w:pPr>
            <w:r>
              <w:rPr>
                <w:rFonts w:ascii="Segoe UI" w:hAnsi="Segoe UI" w:cs="Segoe UI"/>
              </w:rPr>
              <w:t>(Cont’d)</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B94915" w:rsidRDefault="00B94915" w:rsidP="00F467EB">
            <w:pPr>
              <w:rPr>
                <w:rFonts w:ascii="Segoe UI" w:hAnsi="Segoe UI" w:cs="Segoe UI"/>
              </w:rPr>
            </w:pPr>
          </w:p>
          <w:p w:rsidR="006C222C" w:rsidRPr="00FC0D49" w:rsidRDefault="006C222C" w:rsidP="00E45473">
            <w:pPr>
              <w:jc w:val="center"/>
              <w:rPr>
                <w:rFonts w:ascii="Segoe UI" w:hAnsi="Segoe UI" w:cs="Segoe UI"/>
              </w:rPr>
            </w:pPr>
          </w:p>
        </w:tc>
        <w:tc>
          <w:tcPr>
            <w:tcW w:w="1890" w:type="dxa"/>
            <w:tcBorders>
              <w:bottom w:val="nil"/>
            </w:tcBorders>
          </w:tcPr>
          <w:p w:rsidR="00F467EB" w:rsidRPr="00FC0D49" w:rsidRDefault="006A7ECB" w:rsidP="006A7ECB">
            <w:pPr>
              <w:jc w:val="center"/>
              <w:rPr>
                <w:rFonts w:ascii="Segoe UI" w:hAnsi="Segoe UI" w:cs="Segoe UI"/>
              </w:rPr>
            </w:pPr>
            <w:r>
              <w:rPr>
                <w:rFonts w:ascii="Segoe UI" w:hAnsi="Segoe UI" w:cs="Segoe UI"/>
              </w:rPr>
              <w:lastRenderedPageBreak/>
              <w:t>WAC 284-43-5702(4)(b)</w:t>
            </w:r>
            <w:r w:rsidR="00F467EB" w:rsidRPr="00FC0D49">
              <w:rPr>
                <w:rFonts w:ascii="Segoe UI" w:hAnsi="Segoe UI" w:cs="Segoe UI"/>
              </w:rPr>
              <w:t xml:space="preserve"> See, also, WAC 284-43-5702(6); WAC 284-43-5800(4);</w:t>
            </w:r>
          </w:p>
        </w:tc>
        <w:tc>
          <w:tcPr>
            <w:tcW w:w="6840" w:type="dxa"/>
            <w:tcBorders>
              <w:bottom w:val="nil"/>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284-43-5702(5)(i)</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4908AD" w:rsidP="00E45473">
            <w:pPr>
              <w:jc w:val="center"/>
              <w:rPr>
                <w:rFonts w:ascii="Segoe UI" w:hAnsi="Segoe UI" w:cs="Segoe UI"/>
              </w:rPr>
            </w:pPr>
            <w:r w:rsidRPr="00FC0D49">
              <w:rPr>
                <w:rFonts w:ascii="Segoe UI" w:hAnsi="Segoe UI" w:cs="Segoe UI"/>
              </w:rPr>
              <w:t>(5)(t)(i)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Recementation of space maintainers;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DF57D9" w:rsidRPr="00FC0D49" w:rsidTr="003A0443">
        <w:tc>
          <w:tcPr>
            <w:tcW w:w="1435" w:type="dxa"/>
            <w:vMerge/>
          </w:tcPr>
          <w:p w:rsidR="00DF57D9" w:rsidRPr="00FC0D49" w:rsidRDefault="00DF57D9" w:rsidP="00F467EB">
            <w:pPr>
              <w:rPr>
                <w:rFonts w:ascii="Segoe UI" w:hAnsi="Segoe UI" w:cs="Segoe UI"/>
                <w:b/>
              </w:rPr>
            </w:pPr>
          </w:p>
        </w:tc>
        <w:tc>
          <w:tcPr>
            <w:tcW w:w="1350" w:type="dxa"/>
            <w:vMerge/>
          </w:tcPr>
          <w:p w:rsidR="00DF57D9" w:rsidRPr="00FC0D49" w:rsidRDefault="00DF57D9" w:rsidP="00F467EB">
            <w:pPr>
              <w:rPr>
                <w:rFonts w:ascii="Segoe UI" w:hAnsi="Segoe UI" w:cs="Segoe UI"/>
              </w:rPr>
            </w:pPr>
          </w:p>
        </w:tc>
        <w:tc>
          <w:tcPr>
            <w:tcW w:w="1890" w:type="dxa"/>
            <w:tcBorders>
              <w:top w:val="nil"/>
              <w:bottom w:val="nil"/>
            </w:tcBorders>
          </w:tcPr>
          <w:p w:rsidR="00DF57D9" w:rsidRDefault="00DF57D9" w:rsidP="00E45473">
            <w:pPr>
              <w:jc w:val="center"/>
              <w:rPr>
                <w:rFonts w:ascii="Segoe UI" w:hAnsi="Segoe UI" w:cs="Segoe UI"/>
              </w:rPr>
            </w:pPr>
            <w:r>
              <w:rPr>
                <w:rFonts w:ascii="Segoe UI" w:hAnsi="Segoe UI" w:cs="Segoe UI"/>
              </w:rPr>
              <w:t>(5)(t)(iii)</w:t>
            </w:r>
          </w:p>
        </w:tc>
        <w:tc>
          <w:tcPr>
            <w:tcW w:w="6840" w:type="dxa"/>
            <w:tcBorders>
              <w:top w:val="nil"/>
              <w:bottom w:val="nil"/>
            </w:tcBorders>
          </w:tcPr>
          <w:p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nil"/>
              <w:bottom w:val="nil"/>
            </w:tcBorders>
          </w:tcPr>
          <w:p w:rsidR="00DF57D9" w:rsidRPr="00FC0D49" w:rsidRDefault="00DF57D9" w:rsidP="00F467EB">
            <w:pPr>
              <w:rPr>
                <w:rFonts w:ascii="Segoe UI" w:hAnsi="Segoe UI" w:cs="Segoe UI"/>
              </w:rPr>
            </w:pPr>
          </w:p>
        </w:tc>
        <w:tc>
          <w:tcPr>
            <w:tcW w:w="1440" w:type="dxa"/>
            <w:tcBorders>
              <w:top w:val="nil"/>
              <w:bottom w:val="nil"/>
            </w:tcBorders>
          </w:tcPr>
          <w:p w:rsidR="00DF57D9" w:rsidRPr="00FC0D49" w:rsidRDefault="00DF57D9"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836"/>
        </w:trPr>
        <w:tc>
          <w:tcPr>
            <w:tcW w:w="1435" w:type="dxa"/>
            <w:vMerge w:val="restart"/>
          </w:tcPr>
          <w:p w:rsidR="00CB334B" w:rsidRDefault="00F467EB" w:rsidP="00DF5106">
            <w:pPr>
              <w:ind w:right="-119"/>
              <w:jc w:val="center"/>
              <w:rPr>
                <w:rFonts w:ascii="Segoe UI" w:hAnsi="Segoe UI" w:cs="Segoe UI"/>
                <w:b/>
              </w:rPr>
            </w:pPr>
            <w:r w:rsidRPr="00FC0D49">
              <w:rPr>
                <w:rFonts w:ascii="Segoe UI" w:hAnsi="Segoe UI" w:cs="Segoe UI"/>
                <w:b/>
              </w:rPr>
              <w:t>Prostho</w:t>
            </w:r>
            <w:r w:rsidR="00F61C31">
              <w:rPr>
                <w:rFonts w:ascii="Segoe UI" w:hAnsi="Segoe UI" w:cs="Segoe UI"/>
                <w:b/>
              </w:rPr>
              <w:t>-</w:t>
            </w:r>
            <w:r w:rsidRPr="00FC0D49">
              <w:rPr>
                <w:rFonts w:ascii="Segoe UI" w:hAnsi="Segoe UI" w:cs="Segoe UI"/>
                <w:b/>
              </w:rPr>
              <w:t xml:space="preserve">dontic </w:t>
            </w:r>
          </w:p>
          <w:p w:rsidR="00F467EB" w:rsidRDefault="00F467EB" w:rsidP="00DF5106">
            <w:pPr>
              <w:ind w:right="-119"/>
              <w:jc w:val="center"/>
              <w:rPr>
                <w:rFonts w:ascii="Segoe UI" w:hAnsi="Segoe UI" w:cs="Segoe UI"/>
                <w:b/>
              </w:rPr>
            </w:pPr>
            <w:r w:rsidRPr="00FC0D49">
              <w:rPr>
                <w:rFonts w:ascii="Segoe UI" w:hAnsi="Segoe UI" w:cs="Segoe UI"/>
                <w:b/>
              </w:rPr>
              <w:t>Services (Removable)</w:t>
            </w:r>
          </w:p>
          <w:p w:rsidR="00CB334B" w:rsidRDefault="00CB334B" w:rsidP="00DF5106">
            <w:pPr>
              <w:ind w:right="-119"/>
              <w:jc w:val="center"/>
              <w:rPr>
                <w:rFonts w:ascii="Segoe UI" w:hAnsi="Segoe UI" w:cs="Segoe UI"/>
                <w:b/>
              </w:rPr>
            </w:pPr>
            <w:r>
              <w:rPr>
                <w:rFonts w:ascii="Segoe UI" w:hAnsi="Segoe UI" w:cs="Segoe UI"/>
                <w:b/>
              </w:rPr>
              <w:t>(Cont’d)</w:t>
            </w:r>
          </w:p>
          <w:p w:rsidR="00882401" w:rsidRDefault="00882401"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42744B">
            <w:pPr>
              <w:ind w:right="-119"/>
              <w:jc w:val="center"/>
              <w:rPr>
                <w:rFonts w:ascii="Segoe UI" w:hAnsi="Segoe UI" w:cs="Segoe UI"/>
                <w:b/>
              </w:rPr>
            </w:pPr>
            <w:r w:rsidRPr="00FC0D49">
              <w:rPr>
                <w:rFonts w:ascii="Segoe UI" w:hAnsi="Segoe UI" w:cs="Segoe UI"/>
                <w:b/>
              </w:rPr>
              <w:lastRenderedPageBreak/>
              <w:t>Prostho</w:t>
            </w:r>
            <w:r>
              <w:rPr>
                <w:rFonts w:ascii="Segoe UI" w:hAnsi="Segoe UI" w:cs="Segoe UI"/>
                <w:b/>
              </w:rPr>
              <w:t>-</w:t>
            </w:r>
            <w:r w:rsidRPr="00FC0D49">
              <w:rPr>
                <w:rFonts w:ascii="Segoe UI" w:hAnsi="Segoe UI" w:cs="Segoe UI"/>
                <w:b/>
              </w:rPr>
              <w:t xml:space="preserve">dontic </w:t>
            </w:r>
          </w:p>
          <w:p w:rsidR="0042744B" w:rsidRDefault="0042744B" w:rsidP="0042744B">
            <w:pPr>
              <w:ind w:right="-119"/>
              <w:jc w:val="center"/>
              <w:rPr>
                <w:rFonts w:ascii="Segoe UI" w:hAnsi="Segoe UI" w:cs="Segoe UI"/>
                <w:b/>
              </w:rPr>
            </w:pPr>
            <w:r w:rsidRPr="00FC0D49">
              <w:rPr>
                <w:rFonts w:ascii="Segoe UI" w:hAnsi="Segoe UI" w:cs="Segoe UI"/>
                <w:b/>
              </w:rPr>
              <w:t>Services (Removable)</w:t>
            </w:r>
          </w:p>
          <w:p w:rsidR="0042744B" w:rsidRDefault="0042744B" w:rsidP="0042744B">
            <w:pPr>
              <w:ind w:right="-119"/>
              <w:jc w:val="center"/>
              <w:rPr>
                <w:rFonts w:ascii="Segoe UI" w:hAnsi="Segoe UI" w:cs="Segoe UI"/>
                <w:b/>
              </w:rPr>
            </w:pPr>
            <w:r>
              <w:rPr>
                <w:rFonts w:ascii="Segoe UI" w:hAnsi="Segoe UI" w:cs="Segoe UI"/>
                <w:b/>
              </w:rPr>
              <w:t>(Cont’d)</w:t>
            </w:r>
          </w:p>
          <w:p w:rsidR="0042744B" w:rsidRPr="00FC0D49" w:rsidRDefault="0042744B" w:rsidP="00DF5106">
            <w:pPr>
              <w:ind w:right="-119"/>
              <w:jc w:val="center"/>
              <w:rPr>
                <w:rFonts w:ascii="Segoe UI" w:hAnsi="Segoe UI" w:cs="Segoe UI"/>
                <w:b/>
              </w:rPr>
            </w:pPr>
          </w:p>
        </w:tc>
        <w:tc>
          <w:tcPr>
            <w:tcW w:w="1350" w:type="dxa"/>
            <w:vMerge w:val="restart"/>
            <w:tcBorders>
              <w:bottom w:val="nil"/>
            </w:tcBorders>
          </w:tcPr>
          <w:p w:rsidR="00F467EB" w:rsidRDefault="00F467EB" w:rsidP="00DF5106">
            <w:pPr>
              <w:jc w:val="center"/>
              <w:rPr>
                <w:rFonts w:ascii="Segoe UI" w:hAnsi="Segoe UI" w:cs="Segoe UI"/>
              </w:rPr>
            </w:pPr>
            <w:r w:rsidRPr="00FC0D49">
              <w:rPr>
                <w:rFonts w:ascii="Segoe UI" w:hAnsi="Segoe UI" w:cs="Segoe UI"/>
              </w:rPr>
              <w:lastRenderedPageBreak/>
              <w:t>Required Services</w:t>
            </w:r>
          </w:p>
          <w:p w:rsidR="00CB334B" w:rsidRDefault="00CB33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882401" w:rsidRPr="00FC0D49" w:rsidRDefault="00CB334B" w:rsidP="0042744B">
            <w:pPr>
              <w:jc w:val="center"/>
              <w:rPr>
                <w:rFonts w:ascii="Segoe UI" w:hAnsi="Segoe UI" w:cs="Segoe UI"/>
              </w:rPr>
            </w:pPr>
            <w:r>
              <w:rPr>
                <w:rFonts w:ascii="Segoe UI" w:hAnsi="Segoe UI" w:cs="Segoe UI"/>
              </w:rPr>
              <w:lastRenderedPageBreak/>
              <w:t xml:space="preserve">Required Services </w:t>
            </w:r>
          </w:p>
        </w:tc>
        <w:tc>
          <w:tcPr>
            <w:tcW w:w="1890" w:type="dxa"/>
            <w:tcBorders>
              <w:top w:val="single" w:sz="4" w:space="0" w:color="auto"/>
              <w:bottom w:val="nil"/>
            </w:tcBorders>
          </w:tcPr>
          <w:p w:rsidR="00F467EB" w:rsidRPr="00FC0D49" w:rsidRDefault="00F467EB" w:rsidP="006A7ECB">
            <w:pP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h) See, also, WAC 284-43-5702(6).</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top w:val="nil"/>
              <w:bottom w:val="nil"/>
            </w:tcBorders>
          </w:tcPr>
          <w:p w:rsidR="00F467EB" w:rsidRPr="00FC0D49" w:rsidRDefault="0042744B" w:rsidP="0042744B">
            <w:pPr>
              <w:jc w:val="center"/>
              <w:rPr>
                <w:rFonts w:ascii="Segoe UI" w:hAnsi="Segoe UI" w:cs="Segoe UI"/>
                <w:highlight w:val="yellow"/>
              </w:rPr>
            </w:pPr>
            <w:r>
              <w:rPr>
                <w:rFonts w:ascii="Segoe UI" w:hAnsi="Segoe UI" w:cs="Segoe UI"/>
              </w:rPr>
              <w:t>(Cont’d)</w:t>
            </w:r>
          </w:p>
        </w:tc>
        <w:tc>
          <w:tcPr>
            <w:tcW w:w="1890" w:type="dxa"/>
            <w:tcBorders>
              <w:top w:val="nil"/>
              <w:bottom w:val="nil"/>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top w:val="nil"/>
            </w:tcBorders>
          </w:tcPr>
          <w:p w:rsidR="00F467EB" w:rsidRPr="00FC0D49" w:rsidRDefault="00F467EB" w:rsidP="00F467EB">
            <w:pPr>
              <w:rPr>
                <w:rFonts w:ascii="Segoe UI" w:hAnsi="Segoe UI" w:cs="Segoe UI"/>
                <w:highlight w:val="yellow"/>
              </w:rPr>
            </w:pPr>
          </w:p>
        </w:tc>
        <w:tc>
          <w:tcPr>
            <w:tcW w:w="1890" w:type="dxa"/>
            <w:tcBorders>
              <w:top w:val="nil"/>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nil"/>
            </w:tcBorders>
          </w:tcPr>
          <w:p w:rsidR="00F467EB" w:rsidRPr="00FC0D49" w:rsidRDefault="00F467EB" w:rsidP="00F467EB">
            <w:pPr>
              <w:rPr>
                <w:rFonts w:ascii="Segoe UI" w:hAnsi="Segoe UI" w:cs="Segoe UI"/>
              </w:rPr>
            </w:pPr>
          </w:p>
        </w:tc>
        <w:tc>
          <w:tcPr>
            <w:tcW w:w="1440" w:type="dxa"/>
            <w:tcBorders>
              <w:top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3F25F0" w:rsidRDefault="00F467EB" w:rsidP="000E11B3">
            <w:pPr>
              <w:jc w:val="center"/>
              <w:rPr>
                <w:rFonts w:ascii="Segoe UI" w:hAnsi="Segoe UI" w:cs="Segoe UI"/>
                <w:b/>
              </w:rPr>
            </w:pPr>
            <w:r w:rsidRPr="00FC0D49">
              <w:rPr>
                <w:rFonts w:ascii="Segoe UI" w:hAnsi="Segoe UI" w:cs="Segoe UI"/>
                <w:b/>
              </w:rPr>
              <w:t>Restorative Services</w:t>
            </w: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Pr="00FC0D49" w:rsidRDefault="003F25F0" w:rsidP="00F467EB">
            <w:pPr>
              <w:rPr>
                <w:rFonts w:ascii="Segoe UI" w:hAnsi="Segoe UI" w:cs="Segoe UI"/>
                <w:b/>
              </w:rPr>
            </w:pPr>
          </w:p>
          <w:p w:rsidR="006C222C" w:rsidRDefault="006C222C" w:rsidP="003A509B">
            <w:pPr>
              <w:jc w:val="center"/>
              <w:rPr>
                <w:rFonts w:ascii="Segoe UI" w:hAnsi="Segoe UI" w:cs="Segoe UI"/>
                <w:b/>
              </w:rPr>
            </w:pPr>
          </w:p>
          <w:p w:rsidR="003F25F0" w:rsidRPr="00FC0D49" w:rsidRDefault="003F25F0" w:rsidP="003A509B">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6C222C" w:rsidRPr="00FC0D49" w:rsidRDefault="006C222C" w:rsidP="003F25F0">
            <w:pPr>
              <w:jc w:val="center"/>
              <w:rPr>
                <w:rFonts w:ascii="Segoe UI" w:hAnsi="Segoe UI" w:cs="Segoe UI"/>
                <w:b/>
              </w:rPr>
            </w:pPr>
          </w:p>
        </w:tc>
        <w:tc>
          <w:tcPr>
            <w:tcW w:w="1350" w:type="dxa"/>
            <w:vMerge w:val="restart"/>
            <w:tcBorders>
              <w:bottom w:val="nil"/>
            </w:tcBorders>
          </w:tcPr>
          <w:p w:rsidR="00F467EB" w:rsidRPr="00FC0D49" w:rsidRDefault="00F467EB" w:rsidP="00DF5106">
            <w:pPr>
              <w:jc w:val="center"/>
              <w:rPr>
                <w:rFonts w:ascii="Segoe UI" w:hAnsi="Segoe UI" w:cs="Segoe UI"/>
              </w:rPr>
            </w:pPr>
            <w:r w:rsidRPr="00FC0D49">
              <w:rPr>
                <w:rFonts w:ascii="Segoe UI" w:hAnsi="Segoe UI" w:cs="Segoe UI"/>
              </w:rPr>
              <w:t>Required Services</w:t>
            </w:r>
          </w:p>
        </w:tc>
        <w:tc>
          <w:tcPr>
            <w:tcW w:w="1890" w:type="dxa"/>
            <w:tcBorders>
              <w:bottom w:val="nil"/>
            </w:tcBorders>
          </w:tcPr>
          <w:p w:rsidR="00F467EB" w:rsidRPr="00FC0D49" w:rsidRDefault="00F467EB" w:rsidP="00F467EB">
            <w:pP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 xml:space="preserve">c).  See, also, WAC 284-43-5702(6).  </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nil"/>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rsidR="00F467EB" w:rsidRPr="00FC0D49" w:rsidRDefault="00F467EB" w:rsidP="00DF5106">
            <w:pPr>
              <w:jc w:val="center"/>
              <w:rPr>
                <w:rFonts w:ascii="Segoe UI" w:hAnsi="Segoe UI" w:cs="Segoe UI"/>
              </w:rPr>
            </w:pPr>
            <w:r w:rsidRPr="00FC0D49">
              <w:rPr>
                <w:rFonts w:ascii="Segoe UI" w:hAnsi="Segoe UI" w:cs="Segoe UI"/>
              </w:rPr>
              <w:t>Allowable limitations</w:t>
            </w: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Pr="00FC0D49" w:rsidRDefault="003F25F0" w:rsidP="00F467EB">
            <w:pPr>
              <w:rPr>
                <w:rFonts w:ascii="Segoe UI" w:hAnsi="Segoe UI" w:cs="Segoe UI"/>
              </w:rPr>
            </w:pPr>
          </w:p>
        </w:tc>
        <w:tc>
          <w:tcPr>
            <w:tcW w:w="1890" w:type="dxa"/>
            <w:tcBorders>
              <w:top w:val="single" w:sz="4" w:space="0" w:color="auto"/>
              <w:bottom w:val="nil"/>
            </w:tcBorders>
          </w:tcPr>
          <w:p w:rsidR="00F467EB" w:rsidRPr="00FC0D49" w:rsidRDefault="00F467EB" w:rsidP="00B025DA">
            <w:pP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555B7">
      <w:headerReference w:type="default" r:id="rId9"/>
      <w:footerReference w:type="default" r:id="rId10"/>
      <w:headerReference w:type="first" r:id="rId11"/>
      <w:footerReference w:type="first" r:id="rId12"/>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16" w:rsidRDefault="00193F16" w:rsidP="00430083">
      <w:pPr>
        <w:spacing w:after="0" w:line="240" w:lineRule="auto"/>
      </w:pPr>
      <w:r>
        <w:separator/>
      </w:r>
    </w:p>
  </w:endnote>
  <w:endnote w:type="continuationSeparator" w:id="0">
    <w:p w:rsidR="00193F16" w:rsidRDefault="00193F16"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B874E8">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B874E8">
      <w:rPr>
        <w:rFonts w:ascii="Segoe UI" w:hAnsi="Segoe UI" w:cs="Segoe UI"/>
        <w:b/>
        <w:bCs/>
        <w:noProof/>
        <w:sz w:val="18"/>
      </w:rPr>
      <w:t>9</w:t>
    </w:r>
    <w:r w:rsidRPr="00AE2B27">
      <w:rPr>
        <w:rFonts w:ascii="Segoe UI" w:hAnsi="Segoe UI" w:cs="Segoe UI"/>
        <w:b/>
        <w:bCs/>
        <w:sz w:val="18"/>
      </w:rPr>
      <w:fldChar w:fldCharType="end"/>
    </w:r>
  </w:p>
  <w:p w:rsidR="00193F16" w:rsidRDefault="00B768E2" w:rsidP="00834FE4">
    <w:pPr>
      <w:pStyle w:val="Footer"/>
      <w:jc w:val="center"/>
    </w:pPr>
    <w: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B874E8">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B874E8">
      <w:rPr>
        <w:rFonts w:ascii="Segoe UI" w:hAnsi="Segoe UI" w:cs="Segoe UI"/>
        <w:b/>
        <w:bCs/>
        <w:noProof/>
        <w:sz w:val="18"/>
        <w:szCs w:val="18"/>
      </w:rPr>
      <w:t>9</w:t>
    </w:r>
    <w:r w:rsidRPr="00923172">
      <w:rPr>
        <w:rFonts w:ascii="Segoe UI" w:hAnsi="Segoe UI" w:cs="Segoe UI"/>
        <w:b/>
        <w:bCs/>
        <w:sz w:val="18"/>
        <w:szCs w:val="18"/>
      </w:rPr>
      <w:fldChar w:fldCharType="end"/>
    </w:r>
  </w:p>
  <w:p w:rsidR="00193F16" w:rsidRDefault="00B768E2" w:rsidP="00834FE4">
    <w:pPr>
      <w:pStyle w:val="Footer"/>
      <w:jc w:val="center"/>
    </w:pPr>
    <w: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16" w:rsidRDefault="00193F16" w:rsidP="00430083">
      <w:pPr>
        <w:spacing w:after="0" w:line="240" w:lineRule="auto"/>
      </w:pPr>
      <w:r>
        <w:separator/>
      </w:r>
    </w:p>
  </w:footnote>
  <w:footnote w:type="continuationSeparator" w:id="0">
    <w:p w:rsidR="00193F16" w:rsidRDefault="00193F16"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rsidP="006E6569">
    <w:pPr>
      <w:pStyle w:val="Header"/>
      <w:jc w:val="center"/>
    </w:pPr>
    <w:r>
      <w:t>All Filers Individual Embedded Pediatric EHBs Analyst Checklist</w:t>
    </w:r>
  </w:p>
  <w:p w:rsidR="00193F16" w:rsidRDefault="0019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pPr>
      <w:pStyle w:val="Header"/>
    </w:pPr>
    <w:r>
      <w:rPr>
        <w:noProof/>
      </w:rPr>
      <w:drawing>
        <wp:inline distT="0" distB="0" distL="0" distR="0" wp14:anchorId="1537AC00" wp14:editId="13CE48F4">
          <wp:extent cx="893445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5453"/>
    <w:rsid w:val="0003787F"/>
    <w:rsid w:val="00040229"/>
    <w:rsid w:val="00044E37"/>
    <w:rsid w:val="00047CDA"/>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F024A"/>
    <w:rsid w:val="000F0E7E"/>
    <w:rsid w:val="000F22C4"/>
    <w:rsid w:val="000F40B2"/>
    <w:rsid w:val="000F67B0"/>
    <w:rsid w:val="000F67C1"/>
    <w:rsid w:val="000F71AD"/>
    <w:rsid w:val="00103748"/>
    <w:rsid w:val="00107035"/>
    <w:rsid w:val="00110D4C"/>
    <w:rsid w:val="00116F19"/>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3F5F"/>
    <w:rsid w:val="003243A5"/>
    <w:rsid w:val="003258F9"/>
    <w:rsid w:val="0033049B"/>
    <w:rsid w:val="00340CB3"/>
    <w:rsid w:val="0034632C"/>
    <w:rsid w:val="00347BD7"/>
    <w:rsid w:val="00360915"/>
    <w:rsid w:val="00363B57"/>
    <w:rsid w:val="00367EDA"/>
    <w:rsid w:val="00370CB3"/>
    <w:rsid w:val="00371F7F"/>
    <w:rsid w:val="00372159"/>
    <w:rsid w:val="00372C9E"/>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3FDB"/>
    <w:rsid w:val="004C053A"/>
    <w:rsid w:val="004C1E73"/>
    <w:rsid w:val="004C41CB"/>
    <w:rsid w:val="004C6289"/>
    <w:rsid w:val="004C6F95"/>
    <w:rsid w:val="004D7EF4"/>
    <w:rsid w:val="004E24C9"/>
    <w:rsid w:val="004E2B96"/>
    <w:rsid w:val="004E30F3"/>
    <w:rsid w:val="004E7721"/>
    <w:rsid w:val="004F6831"/>
    <w:rsid w:val="004F6DC5"/>
    <w:rsid w:val="00503764"/>
    <w:rsid w:val="00504C23"/>
    <w:rsid w:val="00515114"/>
    <w:rsid w:val="005203B6"/>
    <w:rsid w:val="00523F5D"/>
    <w:rsid w:val="00531EC5"/>
    <w:rsid w:val="00536171"/>
    <w:rsid w:val="00545678"/>
    <w:rsid w:val="00546366"/>
    <w:rsid w:val="00546A49"/>
    <w:rsid w:val="00566BD0"/>
    <w:rsid w:val="005700AA"/>
    <w:rsid w:val="005714A9"/>
    <w:rsid w:val="00571F35"/>
    <w:rsid w:val="00574B27"/>
    <w:rsid w:val="005754B7"/>
    <w:rsid w:val="005873D7"/>
    <w:rsid w:val="00592EDC"/>
    <w:rsid w:val="00592F4E"/>
    <w:rsid w:val="00593DCB"/>
    <w:rsid w:val="005B1218"/>
    <w:rsid w:val="005B2962"/>
    <w:rsid w:val="005B3994"/>
    <w:rsid w:val="005B4B41"/>
    <w:rsid w:val="005B6D2D"/>
    <w:rsid w:val="005C4AF9"/>
    <w:rsid w:val="005D2075"/>
    <w:rsid w:val="005D36BA"/>
    <w:rsid w:val="005D4E79"/>
    <w:rsid w:val="005E0118"/>
    <w:rsid w:val="005E48F7"/>
    <w:rsid w:val="005E4A15"/>
    <w:rsid w:val="005F06C4"/>
    <w:rsid w:val="005F4852"/>
    <w:rsid w:val="005F609C"/>
    <w:rsid w:val="005F7F0E"/>
    <w:rsid w:val="00610EA2"/>
    <w:rsid w:val="00611354"/>
    <w:rsid w:val="00624705"/>
    <w:rsid w:val="0062583C"/>
    <w:rsid w:val="00627FF4"/>
    <w:rsid w:val="0063630F"/>
    <w:rsid w:val="00637731"/>
    <w:rsid w:val="00637F2D"/>
    <w:rsid w:val="00643ECB"/>
    <w:rsid w:val="00653181"/>
    <w:rsid w:val="00653E70"/>
    <w:rsid w:val="006561B1"/>
    <w:rsid w:val="00660FAA"/>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1A2"/>
    <w:rsid w:val="00743FC2"/>
    <w:rsid w:val="00744257"/>
    <w:rsid w:val="00744E3E"/>
    <w:rsid w:val="00747ACA"/>
    <w:rsid w:val="007562C8"/>
    <w:rsid w:val="00761897"/>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E004A"/>
    <w:rsid w:val="007E4E27"/>
    <w:rsid w:val="00801676"/>
    <w:rsid w:val="0080299A"/>
    <w:rsid w:val="008163E3"/>
    <w:rsid w:val="008268F2"/>
    <w:rsid w:val="00831BAC"/>
    <w:rsid w:val="00833871"/>
    <w:rsid w:val="00834FE4"/>
    <w:rsid w:val="00841143"/>
    <w:rsid w:val="00846B0A"/>
    <w:rsid w:val="00847EE6"/>
    <w:rsid w:val="008534E7"/>
    <w:rsid w:val="0085455E"/>
    <w:rsid w:val="008558EC"/>
    <w:rsid w:val="00866ABB"/>
    <w:rsid w:val="00872D0D"/>
    <w:rsid w:val="00873611"/>
    <w:rsid w:val="008763D5"/>
    <w:rsid w:val="00882401"/>
    <w:rsid w:val="00882B73"/>
    <w:rsid w:val="00884179"/>
    <w:rsid w:val="00885084"/>
    <w:rsid w:val="00887C5F"/>
    <w:rsid w:val="00892888"/>
    <w:rsid w:val="008954BD"/>
    <w:rsid w:val="008A5123"/>
    <w:rsid w:val="008B17E0"/>
    <w:rsid w:val="008B1B63"/>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75A6"/>
    <w:rsid w:val="00991F2A"/>
    <w:rsid w:val="009943E8"/>
    <w:rsid w:val="009963D5"/>
    <w:rsid w:val="00996AC8"/>
    <w:rsid w:val="009A465B"/>
    <w:rsid w:val="009A6301"/>
    <w:rsid w:val="009B3536"/>
    <w:rsid w:val="009B355B"/>
    <w:rsid w:val="009C35F9"/>
    <w:rsid w:val="009C749A"/>
    <w:rsid w:val="009D3772"/>
    <w:rsid w:val="009D3AB2"/>
    <w:rsid w:val="009F0F24"/>
    <w:rsid w:val="009F3396"/>
    <w:rsid w:val="009F5FD3"/>
    <w:rsid w:val="009F6058"/>
    <w:rsid w:val="00A07B5C"/>
    <w:rsid w:val="00A11796"/>
    <w:rsid w:val="00A15B6B"/>
    <w:rsid w:val="00A1681C"/>
    <w:rsid w:val="00A17076"/>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72D9A"/>
    <w:rsid w:val="00A73C38"/>
    <w:rsid w:val="00A74D7C"/>
    <w:rsid w:val="00A82179"/>
    <w:rsid w:val="00A8419F"/>
    <w:rsid w:val="00A8793B"/>
    <w:rsid w:val="00A935E1"/>
    <w:rsid w:val="00A94A4E"/>
    <w:rsid w:val="00AB47D0"/>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31AF5"/>
    <w:rsid w:val="00B34FF2"/>
    <w:rsid w:val="00B42184"/>
    <w:rsid w:val="00B466E0"/>
    <w:rsid w:val="00B47166"/>
    <w:rsid w:val="00B47513"/>
    <w:rsid w:val="00B50C62"/>
    <w:rsid w:val="00B52E6B"/>
    <w:rsid w:val="00B53E11"/>
    <w:rsid w:val="00B5406D"/>
    <w:rsid w:val="00B55F38"/>
    <w:rsid w:val="00B615C9"/>
    <w:rsid w:val="00B647B0"/>
    <w:rsid w:val="00B6642D"/>
    <w:rsid w:val="00B665AB"/>
    <w:rsid w:val="00B6789A"/>
    <w:rsid w:val="00B71D63"/>
    <w:rsid w:val="00B768E2"/>
    <w:rsid w:val="00B85FC8"/>
    <w:rsid w:val="00B874E8"/>
    <w:rsid w:val="00B93DBD"/>
    <w:rsid w:val="00B94915"/>
    <w:rsid w:val="00BA05C9"/>
    <w:rsid w:val="00BA50E6"/>
    <w:rsid w:val="00BA5623"/>
    <w:rsid w:val="00BA5824"/>
    <w:rsid w:val="00BA7D25"/>
    <w:rsid w:val="00BB21AD"/>
    <w:rsid w:val="00BB3BA4"/>
    <w:rsid w:val="00BB5FD2"/>
    <w:rsid w:val="00BC3282"/>
    <w:rsid w:val="00BD517B"/>
    <w:rsid w:val="00BD7E8B"/>
    <w:rsid w:val="00BE4544"/>
    <w:rsid w:val="00BF41D6"/>
    <w:rsid w:val="00BF55A5"/>
    <w:rsid w:val="00BF6633"/>
    <w:rsid w:val="00C042D2"/>
    <w:rsid w:val="00C047EF"/>
    <w:rsid w:val="00C17A2E"/>
    <w:rsid w:val="00C24DC5"/>
    <w:rsid w:val="00C26623"/>
    <w:rsid w:val="00C30B53"/>
    <w:rsid w:val="00C31069"/>
    <w:rsid w:val="00C3390F"/>
    <w:rsid w:val="00C4262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6511"/>
    <w:rsid w:val="00DE6580"/>
    <w:rsid w:val="00DF5106"/>
    <w:rsid w:val="00DF57D9"/>
    <w:rsid w:val="00DF7A5D"/>
    <w:rsid w:val="00E076C2"/>
    <w:rsid w:val="00E11042"/>
    <w:rsid w:val="00E11C2F"/>
    <w:rsid w:val="00E12268"/>
    <w:rsid w:val="00E174D1"/>
    <w:rsid w:val="00E21456"/>
    <w:rsid w:val="00E221CC"/>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3770"/>
    <w:rsid w:val="00EF50D4"/>
    <w:rsid w:val="00F01D80"/>
    <w:rsid w:val="00F05771"/>
    <w:rsid w:val="00F17508"/>
    <w:rsid w:val="00F210CD"/>
    <w:rsid w:val="00F2253B"/>
    <w:rsid w:val="00F257B7"/>
    <w:rsid w:val="00F30435"/>
    <w:rsid w:val="00F321A3"/>
    <w:rsid w:val="00F37D87"/>
    <w:rsid w:val="00F4357D"/>
    <w:rsid w:val="00F43D3B"/>
    <w:rsid w:val="00F467EB"/>
    <w:rsid w:val="00F5462D"/>
    <w:rsid w:val="00F555B7"/>
    <w:rsid w:val="00F5643A"/>
    <w:rsid w:val="00F56F3F"/>
    <w:rsid w:val="00F61C31"/>
    <w:rsid w:val="00F6647B"/>
    <w:rsid w:val="00F749DD"/>
    <w:rsid w:val="00F756B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1BE7-D8C0-40E6-8382-6B128313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3</TotalTime>
  <Pages>9</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All Filers Individual Embedded Pediatric Dental with EHBs</dc:title>
  <dc:subject>A checklist to be used by all filers when submitting a 2019 Individual Embedded Pediatric with Dental EHBs filing.</dc:subject>
  <dc:creator>Philhower, Andrea (OIC)</dc:creator>
  <cp:keywords/>
  <dc:description/>
  <cp:lastModifiedBy>Dallenbach, Maria (OIC)</cp:lastModifiedBy>
  <cp:revision>5</cp:revision>
  <cp:lastPrinted>2018-04-06T19:14:00Z</cp:lastPrinted>
  <dcterms:created xsi:type="dcterms:W3CDTF">2018-04-06T19:12:00Z</dcterms:created>
  <dcterms:modified xsi:type="dcterms:W3CDTF">2018-04-10T17:51:00Z</dcterms:modified>
</cp:coreProperties>
</file>